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E03DE" w14:textId="7D4BA478" w:rsidR="00A9351D" w:rsidRPr="00B83ED2" w:rsidRDefault="00DC29A8" w:rsidP="00E63A62">
      <w:pPr>
        <w:pStyle w:val="STNADPIS-4bezcisel"/>
      </w:pPr>
      <w:bookmarkStart w:id="0" w:name="_Toc399830588"/>
      <w:r w:rsidRPr="00B83ED2">
        <w:t>OBSAH</w:t>
      </w:r>
    </w:p>
    <w:p w14:paraId="677024B5" w14:textId="25081E22" w:rsidR="003C1F67" w:rsidRDefault="007204FD">
      <w:pPr>
        <w:pStyle w:val="Obsah1"/>
        <w:rPr>
          <w:rFonts w:asciiTheme="minorHAnsi" w:hAnsiTheme="minorHAnsi"/>
          <w:b w:val="0"/>
          <w:bCs w:val="0"/>
          <w:sz w:val="22"/>
        </w:rPr>
      </w:pPr>
      <w:r>
        <w:rPr>
          <w:rFonts w:cs="Segoe UI"/>
          <w:b w:val="0"/>
          <w:bCs w:val="0"/>
          <w:sz w:val="20"/>
          <w:szCs w:val="20"/>
        </w:rPr>
        <w:fldChar w:fldCharType="begin"/>
      </w:r>
      <w:r>
        <w:rPr>
          <w:rFonts w:cs="Segoe UI"/>
          <w:b w:val="0"/>
          <w:bCs w:val="0"/>
          <w:sz w:val="20"/>
          <w:szCs w:val="20"/>
        </w:rPr>
        <w:instrText xml:space="preserve"> TOC \o "1-2" \h \z \u </w:instrText>
      </w:r>
      <w:r>
        <w:rPr>
          <w:rFonts w:cs="Segoe UI"/>
          <w:b w:val="0"/>
          <w:bCs w:val="0"/>
          <w:sz w:val="20"/>
          <w:szCs w:val="20"/>
        </w:rPr>
        <w:fldChar w:fldCharType="separate"/>
      </w:r>
      <w:hyperlink w:anchor="_Toc24641051" w:history="1">
        <w:r w:rsidR="003C1F67" w:rsidRPr="00E56790">
          <w:rPr>
            <w:rStyle w:val="Hypertextovodkaz"/>
          </w:rPr>
          <w:t>B.1.</w:t>
        </w:r>
        <w:r w:rsidR="003C1F67">
          <w:rPr>
            <w:rFonts w:asciiTheme="minorHAnsi" w:hAnsiTheme="minorHAnsi"/>
            <w:b w:val="0"/>
            <w:bCs w:val="0"/>
            <w:sz w:val="22"/>
          </w:rPr>
          <w:tab/>
        </w:r>
        <w:r w:rsidR="003C1F67" w:rsidRPr="00E56790">
          <w:rPr>
            <w:rStyle w:val="Hypertextovodkaz"/>
          </w:rPr>
          <w:t>Popis území stavby</w:t>
        </w:r>
        <w:r w:rsidR="003C1F67">
          <w:rPr>
            <w:webHidden/>
          </w:rPr>
          <w:tab/>
        </w:r>
        <w:r w:rsidR="003C1F67">
          <w:rPr>
            <w:webHidden/>
          </w:rPr>
          <w:fldChar w:fldCharType="begin"/>
        </w:r>
        <w:r w:rsidR="003C1F67">
          <w:rPr>
            <w:webHidden/>
          </w:rPr>
          <w:instrText xml:space="preserve"> PAGEREF _Toc24641051 \h </w:instrText>
        </w:r>
        <w:r w:rsidR="003C1F67">
          <w:rPr>
            <w:webHidden/>
          </w:rPr>
        </w:r>
        <w:r w:rsidR="003C1F67">
          <w:rPr>
            <w:webHidden/>
          </w:rPr>
          <w:fldChar w:fldCharType="separate"/>
        </w:r>
        <w:r w:rsidR="006B276F">
          <w:rPr>
            <w:webHidden/>
          </w:rPr>
          <w:t>2</w:t>
        </w:r>
        <w:r w:rsidR="003C1F67">
          <w:rPr>
            <w:webHidden/>
          </w:rPr>
          <w:fldChar w:fldCharType="end"/>
        </w:r>
      </w:hyperlink>
    </w:p>
    <w:p w14:paraId="543D1C94" w14:textId="55F9AC0E" w:rsidR="003C1F67" w:rsidRDefault="003C1F67">
      <w:pPr>
        <w:pStyle w:val="Obsah1"/>
        <w:rPr>
          <w:rFonts w:asciiTheme="minorHAnsi" w:hAnsiTheme="minorHAnsi"/>
          <w:b w:val="0"/>
          <w:bCs w:val="0"/>
          <w:sz w:val="22"/>
        </w:rPr>
      </w:pPr>
      <w:hyperlink w:anchor="_Toc24641052" w:history="1">
        <w:r w:rsidRPr="00E56790">
          <w:rPr>
            <w:rStyle w:val="Hypertextovodkaz"/>
          </w:rPr>
          <w:t>B.2.</w:t>
        </w:r>
        <w:r>
          <w:rPr>
            <w:rFonts w:asciiTheme="minorHAnsi" w:hAnsiTheme="minorHAnsi"/>
            <w:b w:val="0"/>
            <w:bCs w:val="0"/>
            <w:sz w:val="22"/>
          </w:rPr>
          <w:tab/>
        </w:r>
        <w:r w:rsidRPr="00E56790">
          <w:rPr>
            <w:rStyle w:val="Hypertextovodkaz"/>
          </w:rPr>
          <w:t>Celkový popis stavby</w:t>
        </w:r>
        <w:r>
          <w:rPr>
            <w:webHidden/>
          </w:rPr>
          <w:tab/>
        </w:r>
        <w:r>
          <w:rPr>
            <w:webHidden/>
          </w:rPr>
          <w:fldChar w:fldCharType="begin"/>
        </w:r>
        <w:r>
          <w:rPr>
            <w:webHidden/>
          </w:rPr>
          <w:instrText xml:space="preserve"> PAGEREF _Toc24641052 \h </w:instrText>
        </w:r>
        <w:r>
          <w:rPr>
            <w:webHidden/>
          </w:rPr>
        </w:r>
        <w:r>
          <w:rPr>
            <w:webHidden/>
          </w:rPr>
          <w:fldChar w:fldCharType="separate"/>
        </w:r>
        <w:r w:rsidR="006B276F">
          <w:rPr>
            <w:webHidden/>
          </w:rPr>
          <w:t>6</w:t>
        </w:r>
        <w:r>
          <w:rPr>
            <w:webHidden/>
          </w:rPr>
          <w:fldChar w:fldCharType="end"/>
        </w:r>
      </w:hyperlink>
    </w:p>
    <w:p w14:paraId="477E3806" w14:textId="4F82F7CC" w:rsidR="003C1F67" w:rsidRDefault="003C1F67">
      <w:pPr>
        <w:pStyle w:val="Obsah2"/>
        <w:rPr>
          <w:rFonts w:asciiTheme="minorHAnsi" w:eastAsiaTheme="minorEastAsia" w:hAnsiTheme="minorHAnsi" w:cstheme="minorBidi"/>
          <w:sz w:val="22"/>
          <w:szCs w:val="22"/>
          <w:lang w:eastAsia="cs-CZ"/>
        </w:rPr>
      </w:pPr>
      <w:hyperlink w:anchor="_Toc24641053" w:history="1">
        <w:r w:rsidRPr="00E56790">
          <w:rPr>
            <w:rStyle w:val="Hypertextovodkaz"/>
          </w:rPr>
          <w:t>B.2.1</w:t>
        </w:r>
        <w:r>
          <w:rPr>
            <w:rFonts w:asciiTheme="minorHAnsi" w:eastAsiaTheme="minorEastAsia" w:hAnsiTheme="minorHAnsi" w:cstheme="minorBidi"/>
            <w:sz w:val="22"/>
            <w:szCs w:val="22"/>
            <w:lang w:eastAsia="cs-CZ"/>
          </w:rPr>
          <w:tab/>
        </w:r>
        <w:r w:rsidRPr="00E56790">
          <w:rPr>
            <w:rStyle w:val="Hypertextovodkaz"/>
          </w:rPr>
          <w:t>Základní charakteristika stavby a jejího užívání</w:t>
        </w:r>
        <w:r>
          <w:rPr>
            <w:webHidden/>
          </w:rPr>
          <w:tab/>
        </w:r>
        <w:r>
          <w:rPr>
            <w:webHidden/>
          </w:rPr>
          <w:fldChar w:fldCharType="begin"/>
        </w:r>
        <w:r>
          <w:rPr>
            <w:webHidden/>
          </w:rPr>
          <w:instrText xml:space="preserve"> PAGEREF _Toc24641053 \h </w:instrText>
        </w:r>
        <w:r>
          <w:rPr>
            <w:webHidden/>
          </w:rPr>
        </w:r>
        <w:r>
          <w:rPr>
            <w:webHidden/>
          </w:rPr>
          <w:fldChar w:fldCharType="separate"/>
        </w:r>
        <w:r w:rsidR="006B276F">
          <w:rPr>
            <w:webHidden/>
          </w:rPr>
          <w:t>6</w:t>
        </w:r>
        <w:r>
          <w:rPr>
            <w:webHidden/>
          </w:rPr>
          <w:fldChar w:fldCharType="end"/>
        </w:r>
      </w:hyperlink>
    </w:p>
    <w:p w14:paraId="50382B59" w14:textId="52E86B5F" w:rsidR="003C1F67" w:rsidRDefault="003C1F67">
      <w:pPr>
        <w:pStyle w:val="Obsah2"/>
        <w:rPr>
          <w:rFonts w:asciiTheme="minorHAnsi" w:eastAsiaTheme="minorEastAsia" w:hAnsiTheme="minorHAnsi" w:cstheme="minorBidi"/>
          <w:sz w:val="22"/>
          <w:szCs w:val="22"/>
          <w:lang w:eastAsia="cs-CZ"/>
        </w:rPr>
      </w:pPr>
      <w:hyperlink w:anchor="_Toc24641054" w:history="1">
        <w:r w:rsidRPr="00E56790">
          <w:rPr>
            <w:rStyle w:val="Hypertextovodkaz"/>
          </w:rPr>
          <w:t>B.2.2</w:t>
        </w:r>
        <w:r>
          <w:rPr>
            <w:rFonts w:asciiTheme="minorHAnsi" w:eastAsiaTheme="minorEastAsia" w:hAnsiTheme="minorHAnsi" w:cstheme="minorBidi"/>
            <w:sz w:val="22"/>
            <w:szCs w:val="22"/>
            <w:lang w:eastAsia="cs-CZ"/>
          </w:rPr>
          <w:tab/>
        </w:r>
        <w:r w:rsidRPr="00E56790">
          <w:rPr>
            <w:rStyle w:val="Hypertextovodkaz"/>
          </w:rPr>
          <w:t>Celkové urbanistické a architektonické řešení</w:t>
        </w:r>
        <w:r>
          <w:rPr>
            <w:webHidden/>
          </w:rPr>
          <w:tab/>
        </w:r>
        <w:r>
          <w:rPr>
            <w:webHidden/>
          </w:rPr>
          <w:fldChar w:fldCharType="begin"/>
        </w:r>
        <w:r>
          <w:rPr>
            <w:webHidden/>
          </w:rPr>
          <w:instrText xml:space="preserve"> PAGEREF _Toc24641054 \h </w:instrText>
        </w:r>
        <w:r>
          <w:rPr>
            <w:webHidden/>
          </w:rPr>
        </w:r>
        <w:r>
          <w:rPr>
            <w:webHidden/>
          </w:rPr>
          <w:fldChar w:fldCharType="separate"/>
        </w:r>
        <w:r w:rsidR="006B276F">
          <w:rPr>
            <w:webHidden/>
          </w:rPr>
          <w:t>11</w:t>
        </w:r>
        <w:r>
          <w:rPr>
            <w:webHidden/>
          </w:rPr>
          <w:fldChar w:fldCharType="end"/>
        </w:r>
      </w:hyperlink>
    </w:p>
    <w:p w14:paraId="15E3E820" w14:textId="7EAD43FC" w:rsidR="003C1F67" w:rsidRDefault="003C1F67">
      <w:pPr>
        <w:pStyle w:val="Obsah2"/>
        <w:rPr>
          <w:rFonts w:asciiTheme="minorHAnsi" w:eastAsiaTheme="minorEastAsia" w:hAnsiTheme="minorHAnsi" w:cstheme="minorBidi"/>
          <w:sz w:val="22"/>
          <w:szCs w:val="22"/>
          <w:lang w:eastAsia="cs-CZ"/>
        </w:rPr>
      </w:pPr>
      <w:hyperlink w:anchor="_Toc24641055" w:history="1">
        <w:r w:rsidRPr="00E56790">
          <w:rPr>
            <w:rStyle w:val="Hypertextovodkaz"/>
          </w:rPr>
          <w:t>B.2.3</w:t>
        </w:r>
        <w:r>
          <w:rPr>
            <w:rFonts w:asciiTheme="minorHAnsi" w:eastAsiaTheme="minorEastAsia" w:hAnsiTheme="minorHAnsi" w:cstheme="minorBidi"/>
            <w:sz w:val="22"/>
            <w:szCs w:val="22"/>
            <w:lang w:eastAsia="cs-CZ"/>
          </w:rPr>
          <w:tab/>
        </w:r>
        <w:r w:rsidRPr="00E56790">
          <w:rPr>
            <w:rStyle w:val="Hypertextovodkaz"/>
          </w:rPr>
          <w:t>Celkové dispoziční a provozní řešení, technologie výroby</w:t>
        </w:r>
        <w:r>
          <w:rPr>
            <w:webHidden/>
          </w:rPr>
          <w:tab/>
        </w:r>
        <w:r>
          <w:rPr>
            <w:webHidden/>
          </w:rPr>
          <w:fldChar w:fldCharType="begin"/>
        </w:r>
        <w:r>
          <w:rPr>
            <w:webHidden/>
          </w:rPr>
          <w:instrText xml:space="preserve"> PAGEREF _Toc24641055 \h </w:instrText>
        </w:r>
        <w:r>
          <w:rPr>
            <w:webHidden/>
          </w:rPr>
        </w:r>
        <w:r>
          <w:rPr>
            <w:webHidden/>
          </w:rPr>
          <w:fldChar w:fldCharType="separate"/>
        </w:r>
        <w:r w:rsidR="006B276F">
          <w:rPr>
            <w:webHidden/>
          </w:rPr>
          <w:t>12</w:t>
        </w:r>
        <w:r>
          <w:rPr>
            <w:webHidden/>
          </w:rPr>
          <w:fldChar w:fldCharType="end"/>
        </w:r>
      </w:hyperlink>
    </w:p>
    <w:p w14:paraId="634CD197" w14:textId="6060E846" w:rsidR="003C1F67" w:rsidRDefault="003C1F67">
      <w:pPr>
        <w:pStyle w:val="Obsah2"/>
        <w:rPr>
          <w:rFonts w:asciiTheme="minorHAnsi" w:eastAsiaTheme="minorEastAsia" w:hAnsiTheme="minorHAnsi" w:cstheme="minorBidi"/>
          <w:sz w:val="22"/>
          <w:szCs w:val="22"/>
          <w:lang w:eastAsia="cs-CZ"/>
        </w:rPr>
      </w:pPr>
      <w:hyperlink w:anchor="_Toc24641056" w:history="1">
        <w:r w:rsidRPr="00E56790">
          <w:rPr>
            <w:rStyle w:val="Hypertextovodkaz"/>
          </w:rPr>
          <w:t>B.2.4</w:t>
        </w:r>
        <w:r>
          <w:rPr>
            <w:rFonts w:asciiTheme="minorHAnsi" w:eastAsiaTheme="minorEastAsia" w:hAnsiTheme="minorHAnsi" w:cstheme="minorBidi"/>
            <w:sz w:val="22"/>
            <w:szCs w:val="22"/>
            <w:lang w:eastAsia="cs-CZ"/>
          </w:rPr>
          <w:tab/>
        </w:r>
        <w:r w:rsidRPr="00E56790">
          <w:rPr>
            <w:rStyle w:val="Hypertextovodkaz"/>
          </w:rPr>
          <w:t>Bezbariérové užívání stavby</w:t>
        </w:r>
        <w:r>
          <w:rPr>
            <w:webHidden/>
          </w:rPr>
          <w:tab/>
        </w:r>
        <w:r>
          <w:rPr>
            <w:webHidden/>
          </w:rPr>
          <w:fldChar w:fldCharType="begin"/>
        </w:r>
        <w:r>
          <w:rPr>
            <w:webHidden/>
          </w:rPr>
          <w:instrText xml:space="preserve"> PAGEREF _Toc24641056 \h </w:instrText>
        </w:r>
        <w:r>
          <w:rPr>
            <w:webHidden/>
          </w:rPr>
        </w:r>
        <w:r>
          <w:rPr>
            <w:webHidden/>
          </w:rPr>
          <w:fldChar w:fldCharType="separate"/>
        </w:r>
        <w:r w:rsidR="006B276F">
          <w:rPr>
            <w:webHidden/>
          </w:rPr>
          <w:t>12</w:t>
        </w:r>
        <w:r>
          <w:rPr>
            <w:webHidden/>
          </w:rPr>
          <w:fldChar w:fldCharType="end"/>
        </w:r>
      </w:hyperlink>
    </w:p>
    <w:p w14:paraId="15117004" w14:textId="3D159AFC" w:rsidR="003C1F67" w:rsidRDefault="003C1F67">
      <w:pPr>
        <w:pStyle w:val="Obsah2"/>
        <w:rPr>
          <w:rFonts w:asciiTheme="minorHAnsi" w:eastAsiaTheme="minorEastAsia" w:hAnsiTheme="minorHAnsi" w:cstheme="minorBidi"/>
          <w:sz w:val="22"/>
          <w:szCs w:val="22"/>
          <w:lang w:eastAsia="cs-CZ"/>
        </w:rPr>
      </w:pPr>
      <w:hyperlink w:anchor="_Toc24641057" w:history="1">
        <w:r w:rsidRPr="00E56790">
          <w:rPr>
            <w:rStyle w:val="Hypertextovodkaz"/>
          </w:rPr>
          <w:t>B.2.5</w:t>
        </w:r>
        <w:r>
          <w:rPr>
            <w:rFonts w:asciiTheme="minorHAnsi" w:eastAsiaTheme="minorEastAsia" w:hAnsiTheme="minorHAnsi" w:cstheme="minorBidi"/>
            <w:sz w:val="22"/>
            <w:szCs w:val="22"/>
            <w:lang w:eastAsia="cs-CZ"/>
          </w:rPr>
          <w:tab/>
        </w:r>
        <w:r w:rsidRPr="00E56790">
          <w:rPr>
            <w:rStyle w:val="Hypertextovodkaz"/>
          </w:rPr>
          <w:t>Bezpečnost při užívání stavby</w:t>
        </w:r>
        <w:r>
          <w:rPr>
            <w:webHidden/>
          </w:rPr>
          <w:tab/>
        </w:r>
        <w:r>
          <w:rPr>
            <w:webHidden/>
          </w:rPr>
          <w:fldChar w:fldCharType="begin"/>
        </w:r>
        <w:r>
          <w:rPr>
            <w:webHidden/>
          </w:rPr>
          <w:instrText xml:space="preserve"> PAGEREF _Toc24641057 \h </w:instrText>
        </w:r>
        <w:r>
          <w:rPr>
            <w:webHidden/>
          </w:rPr>
        </w:r>
        <w:r>
          <w:rPr>
            <w:webHidden/>
          </w:rPr>
          <w:fldChar w:fldCharType="separate"/>
        </w:r>
        <w:r w:rsidR="006B276F">
          <w:rPr>
            <w:webHidden/>
          </w:rPr>
          <w:t>12</w:t>
        </w:r>
        <w:r>
          <w:rPr>
            <w:webHidden/>
          </w:rPr>
          <w:fldChar w:fldCharType="end"/>
        </w:r>
      </w:hyperlink>
    </w:p>
    <w:p w14:paraId="5902FAFB" w14:textId="4B8667DB" w:rsidR="003C1F67" w:rsidRDefault="003C1F67">
      <w:pPr>
        <w:pStyle w:val="Obsah2"/>
        <w:rPr>
          <w:rFonts w:asciiTheme="minorHAnsi" w:eastAsiaTheme="minorEastAsia" w:hAnsiTheme="minorHAnsi" w:cstheme="minorBidi"/>
          <w:sz w:val="22"/>
          <w:szCs w:val="22"/>
          <w:lang w:eastAsia="cs-CZ"/>
        </w:rPr>
      </w:pPr>
      <w:hyperlink w:anchor="_Toc24641058" w:history="1">
        <w:r w:rsidRPr="00E56790">
          <w:rPr>
            <w:rStyle w:val="Hypertextovodkaz"/>
          </w:rPr>
          <w:t>B.2.6</w:t>
        </w:r>
        <w:r>
          <w:rPr>
            <w:rFonts w:asciiTheme="minorHAnsi" w:eastAsiaTheme="minorEastAsia" w:hAnsiTheme="minorHAnsi" w:cstheme="minorBidi"/>
            <w:sz w:val="22"/>
            <w:szCs w:val="22"/>
            <w:lang w:eastAsia="cs-CZ"/>
          </w:rPr>
          <w:tab/>
        </w:r>
        <w:r w:rsidRPr="00E56790">
          <w:rPr>
            <w:rStyle w:val="Hypertextovodkaz"/>
          </w:rPr>
          <w:t>Základní technický popis stavby</w:t>
        </w:r>
        <w:r>
          <w:rPr>
            <w:webHidden/>
          </w:rPr>
          <w:tab/>
        </w:r>
        <w:r>
          <w:rPr>
            <w:webHidden/>
          </w:rPr>
          <w:fldChar w:fldCharType="begin"/>
        </w:r>
        <w:r>
          <w:rPr>
            <w:webHidden/>
          </w:rPr>
          <w:instrText xml:space="preserve"> PAGEREF _Toc24641058 \h </w:instrText>
        </w:r>
        <w:r>
          <w:rPr>
            <w:webHidden/>
          </w:rPr>
        </w:r>
        <w:r>
          <w:rPr>
            <w:webHidden/>
          </w:rPr>
          <w:fldChar w:fldCharType="separate"/>
        </w:r>
        <w:r w:rsidR="006B276F">
          <w:rPr>
            <w:webHidden/>
          </w:rPr>
          <w:t>12</w:t>
        </w:r>
        <w:r>
          <w:rPr>
            <w:webHidden/>
          </w:rPr>
          <w:fldChar w:fldCharType="end"/>
        </w:r>
      </w:hyperlink>
    </w:p>
    <w:p w14:paraId="62634B7E" w14:textId="2098F059" w:rsidR="003C1F67" w:rsidRDefault="003C1F67">
      <w:pPr>
        <w:pStyle w:val="Obsah2"/>
        <w:rPr>
          <w:rFonts w:asciiTheme="minorHAnsi" w:eastAsiaTheme="minorEastAsia" w:hAnsiTheme="minorHAnsi" w:cstheme="minorBidi"/>
          <w:sz w:val="22"/>
          <w:szCs w:val="22"/>
          <w:lang w:eastAsia="cs-CZ"/>
        </w:rPr>
      </w:pPr>
      <w:hyperlink w:anchor="_Toc24641059" w:history="1">
        <w:r w:rsidRPr="00E56790">
          <w:rPr>
            <w:rStyle w:val="Hypertextovodkaz"/>
          </w:rPr>
          <w:t>B.2.7</w:t>
        </w:r>
        <w:r>
          <w:rPr>
            <w:rFonts w:asciiTheme="minorHAnsi" w:eastAsiaTheme="minorEastAsia" w:hAnsiTheme="minorHAnsi" w:cstheme="minorBidi"/>
            <w:sz w:val="22"/>
            <w:szCs w:val="22"/>
            <w:lang w:eastAsia="cs-CZ"/>
          </w:rPr>
          <w:tab/>
        </w:r>
        <w:r w:rsidRPr="00E56790">
          <w:rPr>
            <w:rStyle w:val="Hypertextovodkaz"/>
          </w:rPr>
          <w:t>Základní charakteristika technických a technologických zařízení</w:t>
        </w:r>
        <w:r>
          <w:rPr>
            <w:webHidden/>
          </w:rPr>
          <w:tab/>
        </w:r>
        <w:r>
          <w:rPr>
            <w:webHidden/>
          </w:rPr>
          <w:fldChar w:fldCharType="begin"/>
        </w:r>
        <w:r>
          <w:rPr>
            <w:webHidden/>
          </w:rPr>
          <w:instrText xml:space="preserve"> PAGEREF _Toc24641059 \h </w:instrText>
        </w:r>
        <w:r>
          <w:rPr>
            <w:webHidden/>
          </w:rPr>
        </w:r>
        <w:r>
          <w:rPr>
            <w:webHidden/>
          </w:rPr>
          <w:fldChar w:fldCharType="separate"/>
        </w:r>
        <w:r w:rsidR="006B276F">
          <w:rPr>
            <w:webHidden/>
          </w:rPr>
          <w:t>17</w:t>
        </w:r>
        <w:r>
          <w:rPr>
            <w:webHidden/>
          </w:rPr>
          <w:fldChar w:fldCharType="end"/>
        </w:r>
      </w:hyperlink>
    </w:p>
    <w:p w14:paraId="16541896" w14:textId="674911AC" w:rsidR="003C1F67" w:rsidRDefault="003C1F67">
      <w:pPr>
        <w:pStyle w:val="Obsah2"/>
        <w:rPr>
          <w:rFonts w:asciiTheme="minorHAnsi" w:eastAsiaTheme="minorEastAsia" w:hAnsiTheme="minorHAnsi" w:cstheme="minorBidi"/>
          <w:sz w:val="22"/>
          <w:szCs w:val="22"/>
          <w:lang w:eastAsia="cs-CZ"/>
        </w:rPr>
      </w:pPr>
      <w:hyperlink w:anchor="_Toc24641060" w:history="1">
        <w:r w:rsidRPr="00E56790">
          <w:rPr>
            <w:rStyle w:val="Hypertextovodkaz"/>
          </w:rPr>
          <w:t>B.2.8</w:t>
        </w:r>
        <w:r>
          <w:rPr>
            <w:rFonts w:asciiTheme="minorHAnsi" w:eastAsiaTheme="minorEastAsia" w:hAnsiTheme="minorHAnsi" w:cstheme="minorBidi"/>
            <w:sz w:val="22"/>
            <w:szCs w:val="22"/>
            <w:lang w:eastAsia="cs-CZ"/>
          </w:rPr>
          <w:tab/>
        </w:r>
        <w:r w:rsidRPr="00E56790">
          <w:rPr>
            <w:rStyle w:val="Hypertextovodkaz"/>
          </w:rPr>
          <w:t>Zásady požárně bezpečnostního řešení</w:t>
        </w:r>
        <w:r>
          <w:rPr>
            <w:webHidden/>
          </w:rPr>
          <w:tab/>
        </w:r>
        <w:r>
          <w:rPr>
            <w:webHidden/>
          </w:rPr>
          <w:fldChar w:fldCharType="begin"/>
        </w:r>
        <w:r>
          <w:rPr>
            <w:webHidden/>
          </w:rPr>
          <w:instrText xml:space="preserve"> PAGEREF _Toc24641060 \h </w:instrText>
        </w:r>
        <w:r>
          <w:rPr>
            <w:webHidden/>
          </w:rPr>
        </w:r>
        <w:r>
          <w:rPr>
            <w:webHidden/>
          </w:rPr>
          <w:fldChar w:fldCharType="separate"/>
        </w:r>
        <w:r w:rsidR="006B276F">
          <w:rPr>
            <w:webHidden/>
          </w:rPr>
          <w:t>19</w:t>
        </w:r>
        <w:r>
          <w:rPr>
            <w:webHidden/>
          </w:rPr>
          <w:fldChar w:fldCharType="end"/>
        </w:r>
      </w:hyperlink>
    </w:p>
    <w:p w14:paraId="333FF6FA" w14:textId="70870FE3" w:rsidR="003C1F67" w:rsidRDefault="003C1F67">
      <w:pPr>
        <w:pStyle w:val="Obsah2"/>
        <w:rPr>
          <w:rFonts w:asciiTheme="minorHAnsi" w:eastAsiaTheme="minorEastAsia" w:hAnsiTheme="minorHAnsi" w:cstheme="minorBidi"/>
          <w:sz w:val="22"/>
          <w:szCs w:val="22"/>
          <w:lang w:eastAsia="cs-CZ"/>
        </w:rPr>
      </w:pPr>
      <w:hyperlink w:anchor="_Toc24641061" w:history="1">
        <w:r w:rsidRPr="00E56790">
          <w:rPr>
            <w:rStyle w:val="Hypertextovodkaz"/>
          </w:rPr>
          <w:t>B.2.9</w:t>
        </w:r>
        <w:r>
          <w:rPr>
            <w:rFonts w:asciiTheme="minorHAnsi" w:eastAsiaTheme="minorEastAsia" w:hAnsiTheme="minorHAnsi" w:cstheme="minorBidi"/>
            <w:sz w:val="22"/>
            <w:szCs w:val="22"/>
            <w:lang w:eastAsia="cs-CZ"/>
          </w:rPr>
          <w:tab/>
        </w:r>
        <w:r w:rsidRPr="00E56790">
          <w:rPr>
            <w:rStyle w:val="Hypertextovodkaz"/>
          </w:rPr>
          <w:t>Úspora energie a tepelná ochrana</w:t>
        </w:r>
        <w:r>
          <w:rPr>
            <w:webHidden/>
          </w:rPr>
          <w:tab/>
        </w:r>
        <w:r>
          <w:rPr>
            <w:webHidden/>
          </w:rPr>
          <w:fldChar w:fldCharType="begin"/>
        </w:r>
        <w:r>
          <w:rPr>
            <w:webHidden/>
          </w:rPr>
          <w:instrText xml:space="preserve"> PAGEREF _Toc24641061 \h </w:instrText>
        </w:r>
        <w:r>
          <w:rPr>
            <w:webHidden/>
          </w:rPr>
        </w:r>
        <w:r>
          <w:rPr>
            <w:webHidden/>
          </w:rPr>
          <w:fldChar w:fldCharType="separate"/>
        </w:r>
        <w:r w:rsidR="006B276F">
          <w:rPr>
            <w:webHidden/>
          </w:rPr>
          <w:t>20</w:t>
        </w:r>
        <w:r>
          <w:rPr>
            <w:webHidden/>
          </w:rPr>
          <w:fldChar w:fldCharType="end"/>
        </w:r>
      </w:hyperlink>
    </w:p>
    <w:p w14:paraId="37F2AF69" w14:textId="3313D95B" w:rsidR="003C1F67" w:rsidRDefault="003C1F67">
      <w:pPr>
        <w:pStyle w:val="Obsah2"/>
        <w:rPr>
          <w:rFonts w:asciiTheme="minorHAnsi" w:eastAsiaTheme="minorEastAsia" w:hAnsiTheme="minorHAnsi" w:cstheme="minorBidi"/>
          <w:sz w:val="22"/>
          <w:szCs w:val="22"/>
          <w:lang w:eastAsia="cs-CZ"/>
        </w:rPr>
      </w:pPr>
      <w:hyperlink w:anchor="_Toc24641062" w:history="1">
        <w:r w:rsidRPr="00E56790">
          <w:rPr>
            <w:rStyle w:val="Hypertextovodkaz"/>
          </w:rPr>
          <w:t>B.2.10</w:t>
        </w:r>
        <w:r>
          <w:rPr>
            <w:rFonts w:asciiTheme="minorHAnsi" w:eastAsiaTheme="minorEastAsia" w:hAnsiTheme="minorHAnsi" w:cstheme="minorBidi"/>
            <w:sz w:val="22"/>
            <w:szCs w:val="22"/>
            <w:lang w:eastAsia="cs-CZ"/>
          </w:rPr>
          <w:tab/>
        </w:r>
        <w:r w:rsidRPr="00E56790">
          <w:rPr>
            <w:rStyle w:val="Hypertextovodkaz"/>
          </w:rPr>
          <w:t>Hygienické požadavky na stavby, požadavky na pracovní a komunální prostředí</w:t>
        </w:r>
        <w:r>
          <w:rPr>
            <w:webHidden/>
          </w:rPr>
          <w:tab/>
        </w:r>
        <w:r>
          <w:rPr>
            <w:webHidden/>
          </w:rPr>
          <w:fldChar w:fldCharType="begin"/>
        </w:r>
        <w:r>
          <w:rPr>
            <w:webHidden/>
          </w:rPr>
          <w:instrText xml:space="preserve"> PAGEREF _Toc24641062 \h </w:instrText>
        </w:r>
        <w:r>
          <w:rPr>
            <w:webHidden/>
          </w:rPr>
        </w:r>
        <w:r>
          <w:rPr>
            <w:webHidden/>
          </w:rPr>
          <w:fldChar w:fldCharType="separate"/>
        </w:r>
        <w:r w:rsidR="006B276F">
          <w:rPr>
            <w:webHidden/>
          </w:rPr>
          <w:t>20</w:t>
        </w:r>
        <w:r>
          <w:rPr>
            <w:webHidden/>
          </w:rPr>
          <w:fldChar w:fldCharType="end"/>
        </w:r>
      </w:hyperlink>
    </w:p>
    <w:p w14:paraId="744019C5" w14:textId="0BB5CE15" w:rsidR="003C1F67" w:rsidRDefault="003C1F67">
      <w:pPr>
        <w:pStyle w:val="Obsah2"/>
        <w:rPr>
          <w:rFonts w:asciiTheme="minorHAnsi" w:eastAsiaTheme="minorEastAsia" w:hAnsiTheme="minorHAnsi" w:cstheme="minorBidi"/>
          <w:sz w:val="22"/>
          <w:szCs w:val="22"/>
          <w:lang w:eastAsia="cs-CZ"/>
        </w:rPr>
      </w:pPr>
      <w:hyperlink w:anchor="_Toc24641063" w:history="1">
        <w:r w:rsidRPr="00E56790">
          <w:rPr>
            <w:rStyle w:val="Hypertextovodkaz"/>
          </w:rPr>
          <w:t>B.2.11</w:t>
        </w:r>
        <w:r>
          <w:rPr>
            <w:rFonts w:asciiTheme="minorHAnsi" w:eastAsiaTheme="minorEastAsia" w:hAnsiTheme="minorHAnsi" w:cstheme="minorBidi"/>
            <w:sz w:val="22"/>
            <w:szCs w:val="22"/>
            <w:lang w:eastAsia="cs-CZ"/>
          </w:rPr>
          <w:tab/>
        </w:r>
        <w:r w:rsidRPr="00E56790">
          <w:rPr>
            <w:rStyle w:val="Hypertextovodkaz"/>
          </w:rPr>
          <w:t>Zásady ochrany stavby před negativními účinky vnějšího prostředí</w:t>
        </w:r>
        <w:r>
          <w:rPr>
            <w:webHidden/>
          </w:rPr>
          <w:tab/>
        </w:r>
        <w:r>
          <w:rPr>
            <w:webHidden/>
          </w:rPr>
          <w:fldChar w:fldCharType="begin"/>
        </w:r>
        <w:r>
          <w:rPr>
            <w:webHidden/>
          </w:rPr>
          <w:instrText xml:space="preserve"> PAGEREF _Toc24641063 \h </w:instrText>
        </w:r>
        <w:r>
          <w:rPr>
            <w:webHidden/>
          </w:rPr>
        </w:r>
        <w:r>
          <w:rPr>
            <w:webHidden/>
          </w:rPr>
          <w:fldChar w:fldCharType="separate"/>
        </w:r>
        <w:r w:rsidR="006B276F">
          <w:rPr>
            <w:webHidden/>
          </w:rPr>
          <w:t>24</w:t>
        </w:r>
        <w:r>
          <w:rPr>
            <w:webHidden/>
          </w:rPr>
          <w:fldChar w:fldCharType="end"/>
        </w:r>
      </w:hyperlink>
    </w:p>
    <w:p w14:paraId="5A299778" w14:textId="682241DD" w:rsidR="003C1F67" w:rsidRDefault="003C1F67">
      <w:pPr>
        <w:pStyle w:val="Obsah1"/>
        <w:rPr>
          <w:rFonts w:asciiTheme="minorHAnsi" w:hAnsiTheme="minorHAnsi"/>
          <w:b w:val="0"/>
          <w:bCs w:val="0"/>
          <w:sz w:val="22"/>
        </w:rPr>
      </w:pPr>
      <w:hyperlink w:anchor="_Toc24641064" w:history="1">
        <w:r w:rsidRPr="00E56790">
          <w:rPr>
            <w:rStyle w:val="Hypertextovodkaz"/>
          </w:rPr>
          <w:t>B.3.</w:t>
        </w:r>
        <w:r>
          <w:rPr>
            <w:rFonts w:asciiTheme="minorHAnsi" w:hAnsiTheme="minorHAnsi"/>
            <w:b w:val="0"/>
            <w:bCs w:val="0"/>
            <w:sz w:val="22"/>
          </w:rPr>
          <w:tab/>
        </w:r>
        <w:r w:rsidRPr="00E56790">
          <w:rPr>
            <w:rStyle w:val="Hypertextovodkaz"/>
          </w:rPr>
          <w:t>Připojení na technickou infrastrukturu</w:t>
        </w:r>
        <w:r>
          <w:rPr>
            <w:webHidden/>
          </w:rPr>
          <w:tab/>
        </w:r>
        <w:r>
          <w:rPr>
            <w:webHidden/>
          </w:rPr>
          <w:fldChar w:fldCharType="begin"/>
        </w:r>
        <w:r>
          <w:rPr>
            <w:webHidden/>
          </w:rPr>
          <w:instrText xml:space="preserve"> PAGEREF _Toc24641064 \h </w:instrText>
        </w:r>
        <w:r>
          <w:rPr>
            <w:webHidden/>
          </w:rPr>
        </w:r>
        <w:r>
          <w:rPr>
            <w:webHidden/>
          </w:rPr>
          <w:fldChar w:fldCharType="separate"/>
        </w:r>
        <w:r w:rsidR="006B276F">
          <w:rPr>
            <w:webHidden/>
          </w:rPr>
          <w:t>25</w:t>
        </w:r>
        <w:r>
          <w:rPr>
            <w:webHidden/>
          </w:rPr>
          <w:fldChar w:fldCharType="end"/>
        </w:r>
      </w:hyperlink>
    </w:p>
    <w:p w14:paraId="08A4CF02" w14:textId="5E59260A" w:rsidR="003C1F67" w:rsidRDefault="003C1F67">
      <w:pPr>
        <w:pStyle w:val="Obsah2"/>
        <w:rPr>
          <w:rFonts w:asciiTheme="minorHAnsi" w:eastAsiaTheme="minorEastAsia" w:hAnsiTheme="minorHAnsi" w:cstheme="minorBidi"/>
          <w:sz w:val="22"/>
          <w:szCs w:val="22"/>
          <w:lang w:eastAsia="cs-CZ"/>
        </w:rPr>
      </w:pPr>
      <w:hyperlink w:anchor="_Toc24641065" w:history="1">
        <w:r w:rsidRPr="00E56790">
          <w:rPr>
            <w:rStyle w:val="Hypertextovodkaz"/>
          </w:rPr>
          <w:t>B.3.1</w:t>
        </w:r>
        <w:r>
          <w:rPr>
            <w:rFonts w:asciiTheme="minorHAnsi" w:eastAsiaTheme="minorEastAsia" w:hAnsiTheme="minorHAnsi" w:cstheme="minorBidi"/>
            <w:sz w:val="22"/>
            <w:szCs w:val="22"/>
            <w:lang w:eastAsia="cs-CZ"/>
          </w:rPr>
          <w:tab/>
        </w:r>
        <w:r w:rsidRPr="00E56790">
          <w:rPr>
            <w:rStyle w:val="Hypertextovodkaz"/>
          </w:rPr>
          <w:t>Napojovací místa technické infrastruktury</w:t>
        </w:r>
        <w:r>
          <w:rPr>
            <w:webHidden/>
          </w:rPr>
          <w:tab/>
        </w:r>
        <w:r>
          <w:rPr>
            <w:webHidden/>
          </w:rPr>
          <w:fldChar w:fldCharType="begin"/>
        </w:r>
        <w:r>
          <w:rPr>
            <w:webHidden/>
          </w:rPr>
          <w:instrText xml:space="preserve"> PAGEREF _Toc24641065 \h </w:instrText>
        </w:r>
        <w:r>
          <w:rPr>
            <w:webHidden/>
          </w:rPr>
        </w:r>
        <w:r>
          <w:rPr>
            <w:webHidden/>
          </w:rPr>
          <w:fldChar w:fldCharType="separate"/>
        </w:r>
        <w:r w:rsidR="006B276F">
          <w:rPr>
            <w:webHidden/>
          </w:rPr>
          <w:t>25</w:t>
        </w:r>
        <w:r>
          <w:rPr>
            <w:webHidden/>
          </w:rPr>
          <w:fldChar w:fldCharType="end"/>
        </w:r>
      </w:hyperlink>
    </w:p>
    <w:p w14:paraId="35A62F3B" w14:textId="51166D6E" w:rsidR="003C1F67" w:rsidRDefault="003C1F67">
      <w:pPr>
        <w:pStyle w:val="Obsah2"/>
        <w:rPr>
          <w:rFonts w:asciiTheme="minorHAnsi" w:eastAsiaTheme="minorEastAsia" w:hAnsiTheme="minorHAnsi" w:cstheme="minorBidi"/>
          <w:sz w:val="22"/>
          <w:szCs w:val="22"/>
          <w:lang w:eastAsia="cs-CZ"/>
        </w:rPr>
      </w:pPr>
      <w:hyperlink w:anchor="_Toc24641066" w:history="1">
        <w:r w:rsidRPr="00E56790">
          <w:rPr>
            <w:rStyle w:val="Hypertextovodkaz"/>
          </w:rPr>
          <w:t>B.3.2</w:t>
        </w:r>
        <w:r>
          <w:rPr>
            <w:rFonts w:asciiTheme="minorHAnsi" w:eastAsiaTheme="minorEastAsia" w:hAnsiTheme="minorHAnsi" w:cstheme="minorBidi"/>
            <w:sz w:val="22"/>
            <w:szCs w:val="22"/>
            <w:lang w:eastAsia="cs-CZ"/>
          </w:rPr>
          <w:tab/>
        </w:r>
        <w:r w:rsidRPr="00E56790">
          <w:rPr>
            <w:rStyle w:val="Hypertextovodkaz"/>
          </w:rPr>
          <w:t>Připojovací rozměry, výkonové kapacity a délky</w:t>
        </w:r>
        <w:r>
          <w:rPr>
            <w:webHidden/>
          </w:rPr>
          <w:tab/>
        </w:r>
        <w:r>
          <w:rPr>
            <w:webHidden/>
          </w:rPr>
          <w:fldChar w:fldCharType="begin"/>
        </w:r>
        <w:r>
          <w:rPr>
            <w:webHidden/>
          </w:rPr>
          <w:instrText xml:space="preserve"> PAGEREF _Toc24641066 \h </w:instrText>
        </w:r>
        <w:r>
          <w:rPr>
            <w:webHidden/>
          </w:rPr>
        </w:r>
        <w:r>
          <w:rPr>
            <w:webHidden/>
          </w:rPr>
          <w:fldChar w:fldCharType="separate"/>
        </w:r>
        <w:r w:rsidR="006B276F">
          <w:rPr>
            <w:webHidden/>
          </w:rPr>
          <w:t>26</w:t>
        </w:r>
        <w:r>
          <w:rPr>
            <w:webHidden/>
          </w:rPr>
          <w:fldChar w:fldCharType="end"/>
        </w:r>
      </w:hyperlink>
    </w:p>
    <w:p w14:paraId="436ECA6B" w14:textId="59CE33EE" w:rsidR="003C1F67" w:rsidRDefault="003C1F67">
      <w:pPr>
        <w:pStyle w:val="Obsah1"/>
        <w:rPr>
          <w:rFonts w:asciiTheme="minorHAnsi" w:hAnsiTheme="minorHAnsi"/>
          <w:b w:val="0"/>
          <w:bCs w:val="0"/>
          <w:sz w:val="22"/>
        </w:rPr>
      </w:pPr>
      <w:hyperlink w:anchor="_Toc24641067" w:history="1">
        <w:r w:rsidRPr="00E56790">
          <w:rPr>
            <w:rStyle w:val="Hypertextovodkaz"/>
          </w:rPr>
          <w:t>B.4.</w:t>
        </w:r>
        <w:r>
          <w:rPr>
            <w:rFonts w:asciiTheme="minorHAnsi" w:hAnsiTheme="minorHAnsi"/>
            <w:b w:val="0"/>
            <w:bCs w:val="0"/>
            <w:sz w:val="22"/>
          </w:rPr>
          <w:tab/>
        </w:r>
        <w:r w:rsidRPr="00E56790">
          <w:rPr>
            <w:rStyle w:val="Hypertextovodkaz"/>
          </w:rPr>
          <w:t>Dopravní řešení</w:t>
        </w:r>
        <w:r>
          <w:rPr>
            <w:webHidden/>
          </w:rPr>
          <w:tab/>
        </w:r>
        <w:r>
          <w:rPr>
            <w:webHidden/>
          </w:rPr>
          <w:fldChar w:fldCharType="begin"/>
        </w:r>
        <w:r>
          <w:rPr>
            <w:webHidden/>
          </w:rPr>
          <w:instrText xml:space="preserve"> PAGEREF _Toc24641067 \h </w:instrText>
        </w:r>
        <w:r>
          <w:rPr>
            <w:webHidden/>
          </w:rPr>
        </w:r>
        <w:r>
          <w:rPr>
            <w:webHidden/>
          </w:rPr>
          <w:fldChar w:fldCharType="separate"/>
        </w:r>
        <w:r w:rsidR="006B276F">
          <w:rPr>
            <w:webHidden/>
          </w:rPr>
          <w:t>26</w:t>
        </w:r>
        <w:r>
          <w:rPr>
            <w:webHidden/>
          </w:rPr>
          <w:fldChar w:fldCharType="end"/>
        </w:r>
      </w:hyperlink>
    </w:p>
    <w:p w14:paraId="0C583880" w14:textId="7D4D1E94" w:rsidR="003C1F67" w:rsidRDefault="003C1F67">
      <w:pPr>
        <w:pStyle w:val="Obsah1"/>
        <w:rPr>
          <w:rFonts w:asciiTheme="minorHAnsi" w:hAnsiTheme="minorHAnsi"/>
          <w:b w:val="0"/>
          <w:bCs w:val="0"/>
          <w:sz w:val="22"/>
        </w:rPr>
      </w:pPr>
      <w:hyperlink w:anchor="_Toc24641068" w:history="1">
        <w:r w:rsidRPr="00E56790">
          <w:rPr>
            <w:rStyle w:val="Hypertextovodkaz"/>
          </w:rPr>
          <w:t>B.5.</w:t>
        </w:r>
        <w:r>
          <w:rPr>
            <w:rFonts w:asciiTheme="minorHAnsi" w:hAnsiTheme="minorHAnsi"/>
            <w:b w:val="0"/>
            <w:bCs w:val="0"/>
            <w:sz w:val="22"/>
          </w:rPr>
          <w:tab/>
        </w:r>
        <w:r w:rsidRPr="00E56790">
          <w:rPr>
            <w:rStyle w:val="Hypertextovodkaz"/>
          </w:rPr>
          <w:t>Řešení vegetace a souvisejících terénních úprav</w:t>
        </w:r>
        <w:r>
          <w:rPr>
            <w:webHidden/>
          </w:rPr>
          <w:tab/>
        </w:r>
        <w:r>
          <w:rPr>
            <w:webHidden/>
          </w:rPr>
          <w:fldChar w:fldCharType="begin"/>
        </w:r>
        <w:r>
          <w:rPr>
            <w:webHidden/>
          </w:rPr>
          <w:instrText xml:space="preserve"> PAGEREF _Toc24641068 \h </w:instrText>
        </w:r>
        <w:r>
          <w:rPr>
            <w:webHidden/>
          </w:rPr>
        </w:r>
        <w:r>
          <w:rPr>
            <w:webHidden/>
          </w:rPr>
          <w:fldChar w:fldCharType="separate"/>
        </w:r>
        <w:r w:rsidR="006B276F">
          <w:rPr>
            <w:webHidden/>
          </w:rPr>
          <w:t>27</w:t>
        </w:r>
        <w:r>
          <w:rPr>
            <w:webHidden/>
          </w:rPr>
          <w:fldChar w:fldCharType="end"/>
        </w:r>
      </w:hyperlink>
    </w:p>
    <w:p w14:paraId="2F7C40DF" w14:textId="607F9841" w:rsidR="003C1F67" w:rsidRDefault="003C1F67">
      <w:pPr>
        <w:pStyle w:val="Obsah1"/>
        <w:rPr>
          <w:rFonts w:asciiTheme="minorHAnsi" w:hAnsiTheme="minorHAnsi"/>
          <w:b w:val="0"/>
          <w:bCs w:val="0"/>
          <w:sz w:val="22"/>
        </w:rPr>
      </w:pPr>
      <w:hyperlink w:anchor="_Toc24641069" w:history="1">
        <w:r w:rsidRPr="00E56790">
          <w:rPr>
            <w:rStyle w:val="Hypertextovodkaz"/>
          </w:rPr>
          <w:t>B.6.</w:t>
        </w:r>
        <w:r>
          <w:rPr>
            <w:rFonts w:asciiTheme="minorHAnsi" w:hAnsiTheme="minorHAnsi"/>
            <w:b w:val="0"/>
            <w:bCs w:val="0"/>
            <w:sz w:val="22"/>
          </w:rPr>
          <w:tab/>
        </w:r>
        <w:r w:rsidRPr="00E56790">
          <w:rPr>
            <w:rStyle w:val="Hypertextovodkaz"/>
          </w:rPr>
          <w:t>Popis vlivů stavby na životní prostředí a jeho ochrana</w:t>
        </w:r>
        <w:r>
          <w:rPr>
            <w:webHidden/>
          </w:rPr>
          <w:tab/>
        </w:r>
        <w:r>
          <w:rPr>
            <w:webHidden/>
          </w:rPr>
          <w:fldChar w:fldCharType="begin"/>
        </w:r>
        <w:r>
          <w:rPr>
            <w:webHidden/>
          </w:rPr>
          <w:instrText xml:space="preserve"> PAGEREF _Toc24641069 \h </w:instrText>
        </w:r>
        <w:r>
          <w:rPr>
            <w:webHidden/>
          </w:rPr>
        </w:r>
        <w:r>
          <w:rPr>
            <w:webHidden/>
          </w:rPr>
          <w:fldChar w:fldCharType="separate"/>
        </w:r>
        <w:r w:rsidR="006B276F">
          <w:rPr>
            <w:webHidden/>
          </w:rPr>
          <w:t>27</w:t>
        </w:r>
        <w:r>
          <w:rPr>
            <w:webHidden/>
          </w:rPr>
          <w:fldChar w:fldCharType="end"/>
        </w:r>
      </w:hyperlink>
    </w:p>
    <w:p w14:paraId="4CD17198" w14:textId="2C9381C5" w:rsidR="003C1F67" w:rsidRDefault="003C1F67">
      <w:pPr>
        <w:pStyle w:val="Obsah1"/>
        <w:rPr>
          <w:rFonts w:asciiTheme="minorHAnsi" w:hAnsiTheme="minorHAnsi"/>
          <w:b w:val="0"/>
          <w:bCs w:val="0"/>
          <w:sz w:val="22"/>
        </w:rPr>
      </w:pPr>
      <w:hyperlink w:anchor="_Toc24641070" w:history="1">
        <w:r w:rsidRPr="00E56790">
          <w:rPr>
            <w:rStyle w:val="Hypertextovodkaz"/>
          </w:rPr>
          <w:t>B.7.</w:t>
        </w:r>
        <w:r>
          <w:rPr>
            <w:rFonts w:asciiTheme="minorHAnsi" w:hAnsiTheme="minorHAnsi"/>
            <w:b w:val="0"/>
            <w:bCs w:val="0"/>
            <w:sz w:val="22"/>
          </w:rPr>
          <w:tab/>
        </w:r>
        <w:r w:rsidRPr="00E56790">
          <w:rPr>
            <w:rStyle w:val="Hypertextovodkaz"/>
          </w:rPr>
          <w:t>Ochrana obyvatelstva</w:t>
        </w:r>
        <w:r>
          <w:rPr>
            <w:webHidden/>
          </w:rPr>
          <w:tab/>
        </w:r>
        <w:r>
          <w:rPr>
            <w:webHidden/>
          </w:rPr>
          <w:fldChar w:fldCharType="begin"/>
        </w:r>
        <w:r>
          <w:rPr>
            <w:webHidden/>
          </w:rPr>
          <w:instrText xml:space="preserve"> PAGEREF _Toc24641070 \h </w:instrText>
        </w:r>
        <w:r>
          <w:rPr>
            <w:webHidden/>
          </w:rPr>
        </w:r>
        <w:r>
          <w:rPr>
            <w:webHidden/>
          </w:rPr>
          <w:fldChar w:fldCharType="separate"/>
        </w:r>
        <w:r w:rsidR="006B276F">
          <w:rPr>
            <w:webHidden/>
          </w:rPr>
          <w:t>29</w:t>
        </w:r>
        <w:r>
          <w:rPr>
            <w:webHidden/>
          </w:rPr>
          <w:fldChar w:fldCharType="end"/>
        </w:r>
      </w:hyperlink>
    </w:p>
    <w:p w14:paraId="19FFB21B" w14:textId="678020C6" w:rsidR="003C1F67" w:rsidRDefault="003C1F67">
      <w:pPr>
        <w:pStyle w:val="Obsah1"/>
        <w:rPr>
          <w:rFonts w:asciiTheme="minorHAnsi" w:hAnsiTheme="minorHAnsi"/>
          <w:b w:val="0"/>
          <w:bCs w:val="0"/>
          <w:sz w:val="22"/>
        </w:rPr>
      </w:pPr>
      <w:hyperlink w:anchor="_Toc24641071" w:history="1">
        <w:r w:rsidRPr="00E56790">
          <w:rPr>
            <w:rStyle w:val="Hypertextovodkaz"/>
          </w:rPr>
          <w:t>B.8.</w:t>
        </w:r>
        <w:r>
          <w:rPr>
            <w:rFonts w:asciiTheme="minorHAnsi" w:hAnsiTheme="minorHAnsi"/>
            <w:b w:val="0"/>
            <w:bCs w:val="0"/>
            <w:sz w:val="22"/>
          </w:rPr>
          <w:tab/>
        </w:r>
        <w:r w:rsidRPr="00E56790">
          <w:rPr>
            <w:rStyle w:val="Hypertextovodkaz"/>
          </w:rPr>
          <w:t>Zásady organizace výstavby</w:t>
        </w:r>
        <w:r>
          <w:rPr>
            <w:webHidden/>
          </w:rPr>
          <w:tab/>
        </w:r>
        <w:r>
          <w:rPr>
            <w:webHidden/>
          </w:rPr>
          <w:fldChar w:fldCharType="begin"/>
        </w:r>
        <w:r>
          <w:rPr>
            <w:webHidden/>
          </w:rPr>
          <w:instrText xml:space="preserve"> PAGEREF _Toc24641071 \h </w:instrText>
        </w:r>
        <w:r>
          <w:rPr>
            <w:webHidden/>
          </w:rPr>
        </w:r>
        <w:r>
          <w:rPr>
            <w:webHidden/>
          </w:rPr>
          <w:fldChar w:fldCharType="separate"/>
        </w:r>
        <w:r w:rsidR="006B276F">
          <w:rPr>
            <w:webHidden/>
          </w:rPr>
          <w:t>29</w:t>
        </w:r>
        <w:r>
          <w:rPr>
            <w:webHidden/>
          </w:rPr>
          <w:fldChar w:fldCharType="end"/>
        </w:r>
      </w:hyperlink>
    </w:p>
    <w:p w14:paraId="01608024" w14:textId="04E164C0" w:rsidR="003C1F67" w:rsidRDefault="003C1F67">
      <w:pPr>
        <w:pStyle w:val="Obsah1"/>
        <w:rPr>
          <w:rFonts w:asciiTheme="minorHAnsi" w:hAnsiTheme="minorHAnsi"/>
          <w:b w:val="0"/>
          <w:bCs w:val="0"/>
          <w:sz w:val="22"/>
        </w:rPr>
      </w:pPr>
      <w:hyperlink w:anchor="_Toc24641072" w:history="1">
        <w:r w:rsidRPr="00E56790">
          <w:rPr>
            <w:rStyle w:val="Hypertextovodkaz"/>
          </w:rPr>
          <w:t>B.9.</w:t>
        </w:r>
        <w:r>
          <w:rPr>
            <w:rFonts w:asciiTheme="minorHAnsi" w:hAnsiTheme="minorHAnsi"/>
            <w:b w:val="0"/>
            <w:bCs w:val="0"/>
            <w:sz w:val="22"/>
          </w:rPr>
          <w:tab/>
        </w:r>
        <w:r w:rsidRPr="00E56790">
          <w:rPr>
            <w:rStyle w:val="Hypertextovodkaz"/>
          </w:rPr>
          <w:t>Celkové vodohospodářské řešení</w:t>
        </w:r>
        <w:r>
          <w:rPr>
            <w:webHidden/>
          </w:rPr>
          <w:tab/>
        </w:r>
        <w:r>
          <w:rPr>
            <w:webHidden/>
          </w:rPr>
          <w:fldChar w:fldCharType="begin"/>
        </w:r>
        <w:r>
          <w:rPr>
            <w:webHidden/>
          </w:rPr>
          <w:instrText xml:space="preserve"> PAGEREF _Toc24641072 \h </w:instrText>
        </w:r>
        <w:r>
          <w:rPr>
            <w:webHidden/>
          </w:rPr>
        </w:r>
        <w:r>
          <w:rPr>
            <w:webHidden/>
          </w:rPr>
          <w:fldChar w:fldCharType="separate"/>
        </w:r>
        <w:r w:rsidR="006B276F">
          <w:rPr>
            <w:webHidden/>
          </w:rPr>
          <w:t>30</w:t>
        </w:r>
        <w:r>
          <w:rPr>
            <w:webHidden/>
          </w:rPr>
          <w:fldChar w:fldCharType="end"/>
        </w:r>
      </w:hyperlink>
    </w:p>
    <w:p w14:paraId="0F4BAE40" w14:textId="6E209FBF" w:rsidR="006435F0" w:rsidRPr="00B83ED2" w:rsidRDefault="007204FD" w:rsidP="007204FD">
      <w:pPr>
        <w:pStyle w:val="STNORMLN-2"/>
        <w:tabs>
          <w:tab w:val="right" w:leader="dot" w:pos="9061"/>
        </w:tabs>
        <w:spacing w:after="0"/>
        <w:rPr>
          <w:rFonts w:cs="Segoe UI"/>
          <w:sz w:val="20"/>
          <w:szCs w:val="20"/>
        </w:rPr>
      </w:pPr>
      <w:r>
        <w:rPr>
          <w:rFonts w:eastAsiaTheme="minorEastAsia" w:cs="Segoe UI"/>
          <w:b/>
          <w:bCs/>
          <w:noProof/>
          <w:color w:val="auto"/>
          <w:sz w:val="20"/>
          <w:szCs w:val="20"/>
          <w:lang w:eastAsia="cs-CZ"/>
        </w:rPr>
        <w:fldChar w:fldCharType="end"/>
      </w:r>
    </w:p>
    <w:p w14:paraId="4AC031D6" w14:textId="3EB24E29" w:rsidR="006435F0" w:rsidRPr="00B83ED2" w:rsidRDefault="006435F0" w:rsidP="0033286C">
      <w:pPr>
        <w:pStyle w:val="STNORMLN-2"/>
        <w:tabs>
          <w:tab w:val="right" w:leader="dot" w:pos="9061"/>
        </w:tabs>
        <w:rPr>
          <w:rFonts w:cs="Segoe UI"/>
        </w:rPr>
      </w:pPr>
    </w:p>
    <w:p w14:paraId="51AEE481" w14:textId="36550F68" w:rsidR="005F3C88" w:rsidRPr="00583C68" w:rsidRDefault="003859D6" w:rsidP="00583C68">
      <w:pPr>
        <w:pStyle w:val="STNADPIS1"/>
      </w:pPr>
      <w:bookmarkStart w:id="1" w:name="_GoBack"/>
      <w:bookmarkEnd w:id="1"/>
      <w:r w:rsidRPr="00B83ED2">
        <w:br w:type="page"/>
      </w:r>
      <w:bookmarkStart w:id="2" w:name="_Toc18567051"/>
      <w:bookmarkStart w:id="3" w:name="_Toc24561529"/>
      <w:bookmarkStart w:id="4" w:name="_Toc24561634"/>
      <w:bookmarkStart w:id="5" w:name="_Toc24641051"/>
      <w:r w:rsidR="004267E0" w:rsidRPr="00B83ED2">
        <w:t>Popis území stavby</w:t>
      </w:r>
      <w:bookmarkEnd w:id="2"/>
      <w:bookmarkEnd w:id="3"/>
      <w:bookmarkEnd w:id="4"/>
      <w:bookmarkEnd w:id="5"/>
    </w:p>
    <w:p w14:paraId="0E7FDBA5" w14:textId="2194D89D" w:rsidR="004267E0" w:rsidRPr="00F44CE1" w:rsidRDefault="004267E0" w:rsidP="00E35D91">
      <w:pPr>
        <w:pStyle w:val="STodrkyabc"/>
      </w:pPr>
      <w:bookmarkStart w:id="6" w:name="_Toc24561530"/>
      <w:bookmarkStart w:id="7" w:name="_Toc24561635"/>
      <w:r w:rsidRPr="00F44CE1">
        <w:t>Charakteristika území a stavebního pozemku, zastavěné území a nezastavěné území, soulad navrhované stavby s charakterem území, dosavadní využití a</w:t>
      </w:r>
      <w:r w:rsidR="00611859">
        <w:t> </w:t>
      </w:r>
      <w:r w:rsidRPr="00F44CE1">
        <w:t>zastavěnost území</w:t>
      </w:r>
      <w:r w:rsidR="0022034C" w:rsidRPr="00F44CE1">
        <w:t>.</w:t>
      </w:r>
      <w:bookmarkEnd w:id="6"/>
      <w:bookmarkEnd w:id="7"/>
    </w:p>
    <w:p w14:paraId="0E3A0F66" w14:textId="7213C642" w:rsidR="00026377" w:rsidRDefault="000831AA" w:rsidP="003B7A99">
      <w:pPr>
        <w:pStyle w:val="STNORMLN-2"/>
        <w:rPr>
          <w:rFonts w:cs="Segoe UI"/>
        </w:rPr>
      </w:pPr>
      <w:r w:rsidRPr="00B83ED2">
        <w:rPr>
          <w:rFonts w:cs="Segoe UI"/>
        </w:rPr>
        <w:t xml:space="preserve">Zájmové území stavby se nachází na území Středočeského kraje. Parcely se nachází v zastavěné </w:t>
      </w:r>
      <w:bookmarkStart w:id="8" w:name="_Hlk13054564"/>
      <w:r w:rsidRPr="00B83ED2">
        <w:rPr>
          <w:rFonts w:cs="Segoe UI"/>
        </w:rPr>
        <w:t>části městské části Mladá Boleslav II.</w:t>
      </w:r>
      <w:r w:rsidR="00C93703" w:rsidRPr="00B83ED2">
        <w:rPr>
          <w:rFonts w:cs="Segoe UI"/>
        </w:rPr>
        <w:t xml:space="preserve"> </w:t>
      </w:r>
      <w:bookmarkEnd w:id="8"/>
      <w:r w:rsidR="00C93703" w:rsidRPr="00B83ED2">
        <w:rPr>
          <w:rFonts w:cs="Segoe UI"/>
        </w:rPr>
        <w:t>v Havlíčkově ulici v blízkosti křižovatky s ulicemi Laurinova a Majora Frymla.</w:t>
      </w:r>
      <w:r w:rsidR="006E53F7" w:rsidRPr="00B83ED2">
        <w:rPr>
          <w:rFonts w:cs="Segoe UI"/>
        </w:rPr>
        <w:t xml:space="preserve"> Pod křižovatkou severně od pozemku probíhá koridor českých drah</w:t>
      </w:r>
      <w:r w:rsidR="00631CF4" w:rsidRPr="00B83ED2">
        <w:rPr>
          <w:rFonts w:cs="Segoe UI"/>
        </w:rPr>
        <w:t xml:space="preserve">, který je </w:t>
      </w:r>
      <w:r w:rsidR="000F1B23" w:rsidRPr="00B83ED2">
        <w:rPr>
          <w:rFonts w:cs="Segoe UI"/>
        </w:rPr>
        <w:t>zapuštěný</w:t>
      </w:r>
      <w:r w:rsidR="00631CF4" w:rsidRPr="00B83ED2">
        <w:rPr>
          <w:rFonts w:cs="Segoe UI"/>
        </w:rPr>
        <w:t xml:space="preserve"> </w:t>
      </w:r>
      <w:r w:rsidR="00026377">
        <w:rPr>
          <w:rFonts w:cs="Segoe UI"/>
        </w:rPr>
        <w:t>v zářezu</w:t>
      </w:r>
      <w:r w:rsidR="00631CF4" w:rsidRPr="00B83ED2">
        <w:rPr>
          <w:rFonts w:cs="Segoe UI"/>
        </w:rPr>
        <w:t xml:space="preserve"> </w:t>
      </w:r>
      <w:r w:rsidR="00026377" w:rsidRPr="00B83ED2">
        <w:rPr>
          <w:rFonts w:cs="Segoe UI"/>
        </w:rPr>
        <w:t>porostlé</w:t>
      </w:r>
      <w:r w:rsidR="00026377">
        <w:rPr>
          <w:rFonts w:cs="Segoe UI"/>
        </w:rPr>
        <w:t>m</w:t>
      </w:r>
      <w:r w:rsidR="00026377" w:rsidRPr="00B83ED2">
        <w:rPr>
          <w:rFonts w:cs="Segoe UI"/>
        </w:rPr>
        <w:t xml:space="preserve"> </w:t>
      </w:r>
      <w:r w:rsidR="00631CF4" w:rsidRPr="00B83ED2">
        <w:rPr>
          <w:rFonts w:cs="Segoe UI"/>
        </w:rPr>
        <w:t xml:space="preserve">zelení. </w:t>
      </w:r>
      <w:r w:rsidR="006E53F7" w:rsidRPr="00B83ED2">
        <w:rPr>
          <w:rFonts w:cs="Segoe UI"/>
        </w:rPr>
        <w:t xml:space="preserve">Okolní zástavbu v protilehlé straně </w:t>
      </w:r>
      <w:r w:rsidR="00026377" w:rsidRPr="00B83ED2">
        <w:rPr>
          <w:rFonts w:cs="Segoe UI"/>
        </w:rPr>
        <w:t>Havlíčkov</w:t>
      </w:r>
      <w:r w:rsidR="00026377">
        <w:rPr>
          <w:rFonts w:cs="Segoe UI"/>
        </w:rPr>
        <w:t>y</w:t>
      </w:r>
      <w:r w:rsidR="00026377" w:rsidRPr="00B83ED2">
        <w:rPr>
          <w:rFonts w:cs="Segoe UI"/>
        </w:rPr>
        <w:t xml:space="preserve"> </w:t>
      </w:r>
      <w:r w:rsidR="006E53F7" w:rsidRPr="00B83ED2">
        <w:rPr>
          <w:rFonts w:cs="Segoe UI"/>
        </w:rPr>
        <w:t xml:space="preserve">ulice tvoří areál </w:t>
      </w:r>
      <w:r w:rsidR="00026377" w:rsidRPr="00B83ED2">
        <w:rPr>
          <w:rFonts w:cs="Segoe UI"/>
        </w:rPr>
        <w:t>Klaudi</w:t>
      </w:r>
      <w:r w:rsidR="00026377">
        <w:rPr>
          <w:rFonts w:cs="Segoe UI"/>
        </w:rPr>
        <w:t>á</w:t>
      </w:r>
      <w:r w:rsidR="00026377" w:rsidRPr="00B83ED2">
        <w:rPr>
          <w:rFonts w:cs="Segoe UI"/>
        </w:rPr>
        <w:t>nov</w:t>
      </w:r>
      <w:r w:rsidR="00026377">
        <w:rPr>
          <w:rFonts w:cs="Segoe UI"/>
        </w:rPr>
        <w:t>y</w:t>
      </w:r>
      <w:r w:rsidR="00026377" w:rsidRPr="00B83ED2">
        <w:rPr>
          <w:rFonts w:cs="Segoe UI"/>
        </w:rPr>
        <w:t xml:space="preserve"> </w:t>
      </w:r>
      <w:r w:rsidR="00026377">
        <w:rPr>
          <w:rFonts w:cs="Segoe UI"/>
        </w:rPr>
        <w:t xml:space="preserve">Oblastní </w:t>
      </w:r>
      <w:r w:rsidR="00026377" w:rsidRPr="00B83ED2">
        <w:rPr>
          <w:rFonts w:cs="Segoe UI"/>
        </w:rPr>
        <w:t>nemocnice</w:t>
      </w:r>
      <w:r w:rsidR="00026377">
        <w:rPr>
          <w:rFonts w:cs="Segoe UI"/>
        </w:rPr>
        <w:t xml:space="preserve"> Mladá Boleslav</w:t>
      </w:r>
      <w:r w:rsidR="006E53F7" w:rsidRPr="00B83ED2">
        <w:rPr>
          <w:rFonts w:cs="Segoe UI"/>
        </w:rPr>
        <w:t xml:space="preserve"> s</w:t>
      </w:r>
      <w:r w:rsidR="00026377">
        <w:rPr>
          <w:rFonts w:cs="Segoe UI"/>
        </w:rPr>
        <w:t> </w:t>
      </w:r>
      <w:r w:rsidR="006E53F7" w:rsidRPr="00B83ED2">
        <w:rPr>
          <w:rFonts w:cs="Segoe UI"/>
        </w:rPr>
        <w:t>heliportem</w:t>
      </w:r>
      <w:r w:rsidR="00026377">
        <w:rPr>
          <w:rFonts w:cs="Segoe UI"/>
        </w:rPr>
        <w:t>. J</w:t>
      </w:r>
      <w:r w:rsidR="006E53F7" w:rsidRPr="00B83ED2">
        <w:rPr>
          <w:rFonts w:cs="Segoe UI"/>
        </w:rPr>
        <w:t xml:space="preserve">ižně od pozemku </w:t>
      </w:r>
      <w:r w:rsidR="00026377">
        <w:rPr>
          <w:rFonts w:cs="Segoe UI"/>
        </w:rPr>
        <w:t xml:space="preserve">stavby </w:t>
      </w:r>
      <w:r w:rsidR="006E53F7" w:rsidRPr="00B83ED2">
        <w:rPr>
          <w:rFonts w:cs="Segoe UI"/>
        </w:rPr>
        <w:t xml:space="preserve">se nachází Centrum 83, </w:t>
      </w:r>
      <w:r w:rsidR="00026377">
        <w:rPr>
          <w:rFonts w:cs="Segoe UI"/>
        </w:rPr>
        <w:t xml:space="preserve">areál </w:t>
      </w:r>
      <w:r w:rsidR="006E53F7" w:rsidRPr="00B83ED2">
        <w:rPr>
          <w:rFonts w:cs="Segoe UI"/>
        </w:rPr>
        <w:t>zařízení pro zdravotně postižené s rozlehlou zahradou a vzrostlou zelení.</w:t>
      </w:r>
    </w:p>
    <w:p w14:paraId="3836A0FD" w14:textId="31B44F73" w:rsidR="000831AA" w:rsidRDefault="001A4ACD" w:rsidP="003B7A99">
      <w:pPr>
        <w:pStyle w:val="STNORMLN-2"/>
        <w:rPr>
          <w:rFonts w:cs="Segoe UI"/>
        </w:rPr>
      </w:pPr>
      <w:r w:rsidRPr="00B83ED2">
        <w:rPr>
          <w:rFonts w:cs="Segoe UI"/>
        </w:rPr>
        <w:t>Řešen</w:t>
      </w:r>
      <w:r w:rsidR="00026377">
        <w:rPr>
          <w:rFonts w:cs="Segoe UI"/>
        </w:rPr>
        <w:t>é</w:t>
      </w:r>
      <w:r w:rsidRPr="00B83ED2">
        <w:rPr>
          <w:rFonts w:cs="Segoe UI"/>
        </w:rPr>
        <w:t xml:space="preserve"> území </w:t>
      </w:r>
      <w:r w:rsidR="00026377">
        <w:rPr>
          <w:rFonts w:cs="Segoe UI"/>
        </w:rPr>
        <w:t>zahrnuje</w:t>
      </w:r>
      <w:r w:rsidRPr="00B83ED2">
        <w:rPr>
          <w:rFonts w:cs="Segoe UI"/>
        </w:rPr>
        <w:t xml:space="preserve"> parcely</w:t>
      </w:r>
      <w:r w:rsidR="00B260A6" w:rsidRPr="00B83ED2">
        <w:rPr>
          <w:rFonts w:cs="Segoe UI"/>
        </w:rPr>
        <w:t xml:space="preserve"> </w:t>
      </w:r>
      <w:r w:rsidR="00026377">
        <w:rPr>
          <w:rFonts w:cs="Segoe UI"/>
        </w:rPr>
        <w:t xml:space="preserve">č. </w:t>
      </w:r>
      <w:r w:rsidRPr="00B83ED2">
        <w:rPr>
          <w:rFonts w:cs="Segoe UI"/>
        </w:rPr>
        <w:t>1558</w:t>
      </w:r>
      <w:r w:rsidR="00026377">
        <w:rPr>
          <w:rFonts w:cs="Segoe UI"/>
        </w:rPr>
        <w:t xml:space="preserve"> a</w:t>
      </w:r>
      <w:r w:rsidRPr="00B83ED2">
        <w:rPr>
          <w:rFonts w:cs="Segoe UI"/>
        </w:rPr>
        <w:t xml:space="preserve"> 496/9. Stavební pozem</w:t>
      </w:r>
      <w:r w:rsidR="008F7A35" w:rsidRPr="00B83ED2">
        <w:rPr>
          <w:rFonts w:cs="Segoe UI"/>
        </w:rPr>
        <w:t>ek</w:t>
      </w:r>
      <w:r w:rsidRPr="00B83ED2">
        <w:rPr>
          <w:rFonts w:cs="Segoe UI"/>
        </w:rPr>
        <w:t xml:space="preserve"> j</w:t>
      </w:r>
      <w:r w:rsidR="008F7A35" w:rsidRPr="00B83ED2">
        <w:rPr>
          <w:rFonts w:cs="Segoe UI"/>
        </w:rPr>
        <w:t>e</w:t>
      </w:r>
      <w:r w:rsidRPr="00B83ED2">
        <w:rPr>
          <w:rFonts w:cs="Segoe UI"/>
        </w:rPr>
        <w:t xml:space="preserve"> mírně svažit</w:t>
      </w:r>
      <w:r w:rsidR="008F7A35" w:rsidRPr="00B83ED2">
        <w:rPr>
          <w:rFonts w:cs="Segoe UI"/>
        </w:rPr>
        <w:t>ý</w:t>
      </w:r>
      <w:r w:rsidRPr="00B83ED2">
        <w:rPr>
          <w:rFonts w:cs="Segoe UI"/>
        </w:rPr>
        <w:t xml:space="preserve"> od jihu k</w:t>
      </w:r>
      <w:r w:rsidR="00026377">
        <w:rPr>
          <w:rFonts w:cs="Segoe UI"/>
        </w:rPr>
        <w:t> </w:t>
      </w:r>
      <w:r w:rsidRPr="00B83ED2">
        <w:rPr>
          <w:rFonts w:cs="Segoe UI"/>
        </w:rPr>
        <w:t>severu</w:t>
      </w:r>
      <w:r w:rsidR="00026377">
        <w:rPr>
          <w:rFonts w:cs="Segoe UI"/>
        </w:rPr>
        <w:t xml:space="preserve"> (směrem k dráze)</w:t>
      </w:r>
      <w:r w:rsidRPr="00B83ED2">
        <w:rPr>
          <w:rFonts w:cs="Segoe UI"/>
        </w:rPr>
        <w:t>.</w:t>
      </w:r>
      <w:r w:rsidR="008F7A35" w:rsidRPr="00B83ED2">
        <w:rPr>
          <w:rFonts w:cs="Segoe UI"/>
        </w:rPr>
        <w:t xml:space="preserve"> Pozemek je </w:t>
      </w:r>
      <w:r w:rsidR="00026377">
        <w:rPr>
          <w:rFonts w:cs="Segoe UI"/>
        </w:rPr>
        <w:t xml:space="preserve">ze všech stran </w:t>
      </w:r>
      <w:r w:rsidR="008F7A35" w:rsidRPr="00B83ED2">
        <w:rPr>
          <w:rFonts w:cs="Segoe UI"/>
        </w:rPr>
        <w:t xml:space="preserve">oplocený. </w:t>
      </w:r>
      <w:r w:rsidR="000F1B23" w:rsidRPr="00B83ED2">
        <w:rPr>
          <w:rFonts w:cs="Segoe UI"/>
        </w:rPr>
        <w:t xml:space="preserve">Na </w:t>
      </w:r>
      <w:r w:rsidR="00026377">
        <w:rPr>
          <w:rFonts w:cs="Segoe UI"/>
        </w:rPr>
        <w:t>pozemku stavby</w:t>
      </w:r>
      <w:r w:rsidR="00026377" w:rsidRPr="00B83ED2">
        <w:rPr>
          <w:rFonts w:cs="Segoe UI"/>
        </w:rPr>
        <w:t xml:space="preserve"> </w:t>
      </w:r>
      <w:r w:rsidR="000F1B23" w:rsidRPr="00B83ED2">
        <w:rPr>
          <w:rFonts w:cs="Segoe UI"/>
        </w:rPr>
        <w:t>se</w:t>
      </w:r>
      <w:r w:rsidR="00026377">
        <w:rPr>
          <w:rFonts w:cs="Segoe UI"/>
        </w:rPr>
        <w:t> </w:t>
      </w:r>
      <w:r w:rsidR="000F1B23" w:rsidRPr="00B83ED2">
        <w:rPr>
          <w:rFonts w:cs="Segoe UI"/>
        </w:rPr>
        <w:t xml:space="preserve">v současnosti nachází rodinný dům (p.č. 1558) a </w:t>
      </w:r>
      <w:r w:rsidR="00026377">
        <w:rPr>
          <w:rFonts w:cs="Segoe UI"/>
        </w:rPr>
        <w:t>soukromá</w:t>
      </w:r>
      <w:r w:rsidR="00026377" w:rsidRPr="00B83ED2">
        <w:rPr>
          <w:rFonts w:cs="Segoe UI"/>
        </w:rPr>
        <w:t xml:space="preserve"> </w:t>
      </w:r>
      <w:r w:rsidR="000F1B23" w:rsidRPr="00B83ED2">
        <w:rPr>
          <w:rFonts w:cs="Segoe UI"/>
        </w:rPr>
        <w:t>zahrada (p.č.</w:t>
      </w:r>
      <w:r w:rsidR="00026377">
        <w:rPr>
          <w:rFonts w:cs="Segoe UI"/>
        </w:rPr>
        <w:t> </w:t>
      </w:r>
      <w:r w:rsidR="000F1B23" w:rsidRPr="00B83ED2">
        <w:rPr>
          <w:rFonts w:cs="Segoe UI"/>
        </w:rPr>
        <w:t>496/6</w:t>
      </w:r>
      <w:r w:rsidR="00070765" w:rsidRPr="00B83ED2">
        <w:rPr>
          <w:rFonts w:cs="Segoe UI"/>
        </w:rPr>
        <w:t>)</w:t>
      </w:r>
      <w:r w:rsidR="00070765">
        <w:rPr>
          <w:rFonts w:cs="Segoe UI"/>
        </w:rPr>
        <w:t>,</w:t>
      </w:r>
      <w:r w:rsidR="00070765" w:rsidRPr="00B83ED2">
        <w:rPr>
          <w:rFonts w:cs="Segoe UI"/>
        </w:rPr>
        <w:t> výškově</w:t>
      </w:r>
      <w:r w:rsidR="00026377">
        <w:rPr>
          <w:rFonts w:cs="Segoe UI"/>
        </w:rPr>
        <w:t xml:space="preserve"> členěná</w:t>
      </w:r>
      <w:r w:rsidR="00026377" w:rsidRPr="00B83ED2">
        <w:rPr>
          <w:rFonts w:cs="Segoe UI"/>
        </w:rPr>
        <w:t> </w:t>
      </w:r>
      <w:r w:rsidR="000F1B23" w:rsidRPr="00B83ED2">
        <w:rPr>
          <w:rFonts w:cs="Segoe UI"/>
        </w:rPr>
        <w:t>opěrnou stěnou v severní a východní časti. Pozemek je</w:t>
      </w:r>
      <w:r w:rsidR="00026377">
        <w:rPr>
          <w:rFonts w:cs="Segoe UI"/>
        </w:rPr>
        <w:t> </w:t>
      </w:r>
      <w:r w:rsidR="000F1B23" w:rsidRPr="00B83ED2">
        <w:rPr>
          <w:rFonts w:cs="Segoe UI"/>
        </w:rPr>
        <w:t>přístupný z </w:t>
      </w:r>
      <w:r w:rsidR="00504824" w:rsidRPr="00B83ED2">
        <w:rPr>
          <w:rFonts w:cs="Segoe UI"/>
        </w:rPr>
        <w:t>Havlíčkov</w:t>
      </w:r>
      <w:r w:rsidR="00504824">
        <w:rPr>
          <w:rFonts w:cs="Segoe UI"/>
        </w:rPr>
        <w:t>y</w:t>
      </w:r>
      <w:r w:rsidR="00504824" w:rsidRPr="00B83ED2">
        <w:rPr>
          <w:rFonts w:cs="Segoe UI"/>
        </w:rPr>
        <w:t xml:space="preserve"> </w:t>
      </w:r>
      <w:r w:rsidR="000F1B23" w:rsidRPr="00B83ED2">
        <w:rPr>
          <w:rFonts w:cs="Segoe UI"/>
        </w:rPr>
        <w:t>ulice po</w:t>
      </w:r>
      <w:r w:rsidR="00026377">
        <w:rPr>
          <w:rFonts w:cs="Segoe UI"/>
        </w:rPr>
        <w:t> </w:t>
      </w:r>
      <w:r w:rsidR="000F1B23" w:rsidRPr="00B83ED2">
        <w:rPr>
          <w:rFonts w:cs="Segoe UI"/>
        </w:rPr>
        <w:t>betonovém soukromém venkovním schodišti rovnoběžném s veřejným chodníkem.</w:t>
      </w:r>
    </w:p>
    <w:p w14:paraId="5EBB6BB3" w14:textId="77777777" w:rsidR="006C1329" w:rsidRPr="00E83257" w:rsidRDefault="006C1329" w:rsidP="00E35D91">
      <w:pPr>
        <w:pStyle w:val="STodrkyabc"/>
      </w:pPr>
      <w:bookmarkStart w:id="9" w:name="_Toc24561531"/>
      <w:bookmarkStart w:id="10" w:name="_Toc24561636"/>
      <w:r w:rsidRPr="00611859">
        <w:t>Údaje o souladu s územním rozhodnutím nebo regulačním plánem nebo veřejnoprávní smlouvou územní rozhodnutí nahrazující anebo územním souhlasem</w:t>
      </w:r>
      <w:bookmarkEnd w:id="9"/>
      <w:bookmarkEnd w:id="10"/>
    </w:p>
    <w:p w14:paraId="3C01094A" w14:textId="14D19FD2" w:rsidR="00D50A14" w:rsidRDefault="00D50A14" w:rsidP="00E83257">
      <w:pPr>
        <w:pStyle w:val="STNORMLN-2"/>
      </w:pPr>
      <w:r>
        <w:t>Předkládaná dokumentace je zpracována plně v souladu s územním rozhodnutím. Řešení stavby nevykazuje žádné odchylky</w:t>
      </w:r>
      <w:r w:rsidR="00D80E2F">
        <w:t xml:space="preserve"> v rozměrech řešeného objektu, ani řešení přístupových cest a napojení na technickou a dopravní infrastrukturu.</w:t>
      </w:r>
    </w:p>
    <w:p w14:paraId="7D937D4C" w14:textId="293E9A07" w:rsidR="0022034C" w:rsidRPr="00D50A14" w:rsidRDefault="0022034C" w:rsidP="00E35D91">
      <w:pPr>
        <w:pStyle w:val="STodrkyabc"/>
      </w:pPr>
      <w:bookmarkStart w:id="11" w:name="_Toc24561532"/>
      <w:bookmarkStart w:id="12" w:name="_Toc24561637"/>
      <w:r w:rsidRPr="00D50A14">
        <w:t xml:space="preserve">Údaje o souladu s územně plánovací dokumentací, </w:t>
      </w:r>
      <w:r w:rsidR="006C1329" w:rsidRPr="00D50A14">
        <w:t>v případě stavebních úprav podmiňujících změnu v užívání stavby</w:t>
      </w:r>
      <w:bookmarkEnd w:id="11"/>
      <w:bookmarkEnd w:id="12"/>
    </w:p>
    <w:p w14:paraId="7A0EAD7D" w14:textId="474B7550" w:rsidR="0022034C" w:rsidRPr="00B83ED2" w:rsidRDefault="00D50A14" w:rsidP="0022034C">
      <w:pPr>
        <w:pStyle w:val="STNORMLN-2"/>
        <w:rPr>
          <w:rFonts w:cs="Segoe UI"/>
        </w:rPr>
      </w:pPr>
      <w:bookmarkStart w:id="13" w:name="_Hlk13116865"/>
      <w:r>
        <w:rPr>
          <w:rFonts w:cs="Segoe UI"/>
        </w:rPr>
        <w:t xml:space="preserve">Původní </w:t>
      </w:r>
      <w:r w:rsidR="00D80E2F">
        <w:rPr>
          <w:rFonts w:cs="Segoe UI"/>
        </w:rPr>
        <w:t>objekt</w:t>
      </w:r>
      <w:r>
        <w:rPr>
          <w:rFonts w:cs="Segoe UI"/>
        </w:rPr>
        <w:t xml:space="preserve"> byla určena k bydlení a sloužila j</w:t>
      </w:r>
      <w:r w:rsidR="00D80E2F">
        <w:rPr>
          <w:rFonts w:cs="Segoe UI"/>
        </w:rPr>
        <w:t>ako</w:t>
      </w:r>
      <w:r>
        <w:rPr>
          <w:rFonts w:cs="Segoe UI"/>
        </w:rPr>
        <w:t xml:space="preserve"> rodinný domek. </w:t>
      </w:r>
      <w:r w:rsidR="00D80E2F">
        <w:rPr>
          <w:rFonts w:cs="Segoe UI"/>
        </w:rPr>
        <w:t>D</w:t>
      </w:r>
      <w:r w:rsidR="00D80E2F" w:rsidRPr="00B83ED2">
        <w:rPr>
          <w:rFonts w:cs="Segoe UI"/>
        </w:rPr>
        <w:t xml:space="preserve">le platného územního plánu </w:t>
      </w:r>
      <w:r w:rsidR="00D80E2F">
        <w:rPr>
          <w:rFonts w:cs="Segoe UI"/>
        </w:rPr>
        <w:t>se s</w:t>
      </w:r>
      <w:r w:rsidR="00627826" w:rsidRPr="00B83ED2">
        <w:rPr>
          <w:rFonts w:cs="Segoe UI"/>
        </w:rPr>
        <w:t xml:space="preserve">tavba nachází </w:t>
      </w:r>
      <w:r w:rsidR="00B0724D" w:rsidRPr="00B83ED2">
        <w:rPr>
          <w:rFonts w:cs="Segoe UI"/>
        </w:rPr>
        <w:t>v</w:t>
      </w:r>
      <w:r w:rsidR="00B0724D">
        <w:rPr>
          <w:rFonts w:cs="Segoe UI"/>
        </w:rPr>
        <w:t> zóně občanské vybavenosti s</w:t>
      </w:r>
      <w:r w:rsidR="00B0724D" w:rsidRPr="00B83ED2">
        <w:rPr>
          <w:rFonts w:cs="Segoe UI"/>
        </w:rPr>
        <w:t xml:space="preserve"> funkčním využitím </w:t>
      </w:r>
      <w:r w:rsidR="00B0724D">
        <w:rPr>
          <w:rFonts w:cs="Segoe UI"/>
        </w:rPr>
        <w:t>bydlení</w:t>
      </w:r>
      <w:r w:rsidR="00B0724D" w:rsidRPr="00B83ED2">
        <w:rPr>
          <w:rFonts w:cs="Segoe UI"/>
        </w:rPr>
        <w:t>.</w:t>
      </w:r>
      <w:r w:rsidR="00627826" w:rsidRPr="00B83ED2">
        <w:rPr>
          <w:rFonts w:cs="Segoe UI"/>
        </w:rPr>
        <w:t xml:space="preserve"> </w:t>
      </w:r>
      <w:r w:rsidR="00F43AE4">
        <w:rPr>
          <w:rFonts w:cs="Segoe UI"/>
        </w:rPr>
        <w:t xml:space="preserve">Výsledné využití přestavovaného rodinného domku je sice bydlení, ovšem dle zákona 183/2006 </w:t>
      </w:r>
      <w:r w:rsidR="00E232E0">
        <w:rPr>
          <w:rFonts w:cs="Segoe UI"/>
        </w:rPr>
        <w:t xml:space="preserve">Sb. ve smyslu pozdějších předpisů je </w:t>
      </w:r>
      <w:r w:rsidR="00F43AE4">
        <w:rPr>
          <w:rFonts w:cs="Segoe UI"/>
        </w:rPr>
        <w:t xml:space="preserve">zařazena jako občanská vybavenost. </w:t>
      </w:r>
      <w:r w:rsidR="00D80E2F">
        <w:rPr>
          <w:rFonts w:cs="Segoe UI"/>
        </w:rPr>
        <w:t xml:space="preserve">Řešená úprava původní budovy je </w:t>
      </w:r>
      <w:r w:rsidR="00E83257">
        <w:rPr>
          <w:rFonts w:cs="Segoe UI"/>
        </w:rPr>
        <w:t xml:space="preserve">tedy </w:t>
      </w:r>
      <w:r w:rsidR="00627826" w:rsidRPr="00B83ED2">
        <w:rPr>
          <w:rFonts w:cs="Segoe UI"/>
        </w:rPr>
        <w:t>v souladu s využitím území a není v rozporu s</w:t>
      </w:r>
      <w:r w:rsidR="00E83257">
        <w:rPr>
          <w:rFonts w:cs="Segoe UI"/>
        </w:rPr>
        <w:t> </w:t>
      </w:r>
      <w:r w:rsidR="00627826" w:rsidRPr="00B83ED2">
        <w:rPr>
          <w:rFonts w:cs="Segoe UI"/>
        </w:rPr>
        <w:t>územním plánem města</w:t>
      </w:r>
      <w:r w:rsidR="00504824">
        <w:rPr>
          <w:rFonts w:cs="Segoe UI"/>
        </w:rPr>
        <w:t xml:space="preserve"> Mladá Boleslav</w:t>
      </w:r>
      <w:r w:rsidR="00627826" w:rsidRPr="00B83ED2">
        <w:rPr>
          <w:rFonts w:cs="Segoe UI"/>
        </w:rPr>
        <w:t xml:space="preserve">. Územní plán vymezuje lokalitu jako plochu stabilizovanou. </w:t>
      </w:r>
      <w:r w:rsidR="0022034C" w:rsidRPr="00B83ED2">
        <w:rPr>
          <w:rFonts w:cs="Segoe UI"/>
        </w:rPr>
        <w:t>Stavba je v souladu s územně plánovací dokumentací.</w:t>
      </w:r>
    </w:p>
    <w:p w14:paraId="0215A92F" w14:textId="50A8BD56" w:rsidR="0022034C" w:rsidRPr="00E232E0" w:rsidRDefault="0022034C" w:rsidP="00E35D91">
      <w:pPr>
        <w:pStyle w:val="STodrkyabc"/>
      </w:pPr>
      <w:bookmarkStart w:id="14" w:name="_Toc24561533"/>
      <w:bookmarkStart w:id="15" w:name="_Toc24561638"/>
      <w:bookmarkEnd w:id="13"/>
      <w:r w:rsidRPr="00E232E0">
        <w:t>Informace o vydaných rozhodnutích o povolení výjimky z obecných požadavků na</w:t>
      </w:r>
      <w:r w:rsidR="00B12E73" w:rsidRPr="00E232E0">
        <w:t> </w:t>
      </w:r>
      <w:r w:rsidRPr="00E232E0">
        <w:t>využívání území.</w:t>
      </w:r>
      <w:bookmarkEnd w:id="14"/>
      <w:bookmarkEnd w:id="15"/>
    </w:p>
    <w:p w14:paraId="14081DA2" w14:textId="418CAB90" w:rsidR="0022034C" w:rsidRPr="00B83ED2" w:rsidRDefault="0022034C" w:rsidP="0022034C">
      <w:pPr>
        <w:pStyle w:val="STNORMLN-2"/>
        <w:rPr>
          <w:rFonts w:cs="Segoe UI"/>
        </w:rPr>
      </w:pPr>
      <w:bookmarkStart w:id="16" w:name="_Hlk13061333"/>
      <w:r w:rsidRPr="00B83ED2">
        <w:rPr>
          <w:rFonts w:cs="Segoe UI"/>
        </w:rPr>
        <w:t>Pro předmětnou stavbu nebyla vydána a nejsou vyžadována žádná rozhodnutí o povolení výjimky z obecných požadavků na využívání území.</w:t>
      </w:r>
    </w:p>
    <w:p w14:paraId="7EE126F7" w14:textId="23F0ACFB" w:rsidR="0022034C" w:rsidRPr="00E232E0" w:rsidRDefault="0022034C" w:rsidP="00E35D91">
      <w:pPr>
        <w:pStyle w:val="STodrkyabc"/>
      </w:pPr>
      <w:bookmarkStart w:id="17" w:name="_Toc24561534"/>
      <w:bookmarkStart w:id="18" w:name="_Toc24561639"/>
      <w:bookmarkEnd w:id="16"/>
      <w:r w:rsidRPr="00E232E0">
        <w:t>Informace o tom, zda a v jakých částech dokumentace jsou zohledněny podmínky závazných stanovisek dotčených orgánů.</w:t>
      </w:r>
      <w:bookmarkEnd w:id="17"/>
      <w:bookmarkEnd w:id="18"/>
    </w:p>
    <w:p w14:paraId="58B189EF" w14:textId="317C3805" w:rsidR="009779E0" w:rsidRDefault="00E232E0" w:rsidP="0022034C">
      <w:pPr>
        <w:pStyle w:val="STNORMLN-2"/>
        <w:rPr>
          <w:rFonts w:cs="Segoe UI"/>
        </w:rPr>
      </w:pPr>
      <w:bookmarkStart w:id="19" w:name="_Hlk13061525"/>
      <w:r>
        <w:rPr>
          <w:rFonts w:cs="Segoe UI"/>
        </w:rPr>
        <w:t xml:space="preserve">Potřebná stanoviska </w:t>
      </w:r>
      <w:r w:rsidR="0098545F" w:rsidRPr="00B83ED2">
        <w:rPr>
          <w:rFonts w:cs="Segoe UI"/>
        </w:rPr>
        <w:t xml:space="preserve">a vyjádření DOSS, </w:t>
      </w:r>
      <w:r>
        <w:rPr>
          <w:rFonts w:cs="Segoe UI"/>
        </w:rPr>
        <w:t xml:space="preserve">jsou včetně popisu </w:t>
      </w:r>
      <w:r w:rsidR="0098545F" w:rsidRPr="00B83ED2">
        <w:rPr>
          <w:rFonts w:cs="Segoe UI"/>
        </w:rPr>
        <w:t xml:space="preserve">vypořádání </w:t>
      </w:r>
      <w:r>
        <w:rPr>
          <w:rFonts w:cs="Segoe UI"/>
        </w:rPr>
        <w:t xml:space="preserve">se s </w:t>
      </w:r>
      <w:r w:rsidR="00504824">
        <w:rPr>
          <w:rFonts w:cs="Segoe UI"/>
        </w:rPr>
        <w:t>případný</w:t>
      </w:r>
      <w:r>
        <w:rPr>
          <w:rFonts w:cs="Segoe UI"/>
        </w:rPr>
        <w:t>mi</w:t>
      </w:r>
      <w:r w:rsidR="00504824">
        <w:rPr>
          <w:rFonts w:cs="Segoe UI"/>
        </w:rPr>
        <w:t xml:space="preserve"> podmín</w:t>
      </w:r>
      <w:r>
        <w:rPr>
          <w:rFonts w:cs="Segoe UI"/>
        </w:rPr>
        <w:t xml:space="preserve">kami, jsou přiložena </w:t>
      </w:r>
      <w:r w:rsidR="0098545F" w:rsidRPr="00B83ED2">
        <w:rPr>
          <w:rFonts w:cs="Segoe UI"/>
        </w:rPr>
        <w:t xml:space="preserve">v části </w:t>
      </w:r>
      <w:r w:rsidR="00E37DB2">
        <w:rPr>
          <w:rFonts w:cs="Segoe UI"/>
        </w:rPr>
        <w:t>00</w:t>
      </w:r>
      <w:r w:rsidR="0098545F" w:rsidRPr="00B83ED2">
        <w:rPr>
          <w:rFonts w:cs="Segoe UI"/>
        </w:rPr>
        <w:t xml:space="preserve">E </w:t>
      </w:r>
      <w:r w:rsidR="00E37DB2">
        <w:rPr>
          <w:rFonts w:cs="Segoe UI"/>
        </w:rPr>
        <w:t>D</w:t>
      </w:r>
      <w:r w:rsidR="00E37DB2" w:rsidRPr="00B83ED2">
        <w:rPr>
          <w:rFonts w:cs="Segoe UI"/>
        </w:rPr>
        <w:t>o</w:t>
      </w:r>
      <w:r w:rsidR="00E37DB2">
        <w:rPr>
          <w:rFonts w:cs="Segoe UI"/>
        </w:rPr>
        <w:t>kladová část</w:t>
      </w:r>
      <w:r w:rsidR="0098545F" w:rsidRPr="00B83ED2">
        <w:rPr>
          <w:rFonts w:cs="Segoe UI"/>
        </w:rPr>
        <w:t xml:space="preserve">. </w:t>
      </w:r>
      <w:r w:rsidR="009779E0">
        <w:rPr>
          <w:rFonts w:cs="Segoe UI"/>
        </w:rPr>
        <w:t>Podmínky byly zapracovány do překládané projektové dokumentace.</w:t>
      </w:r>
    </w:p>
    <w:p w14:paraId="5A5194F0" w14:textId="0B32C35A" w:rsidR="009779E0" w:rsidRDefault="009779E0" w:rsidP="0022034C">
      <w:pPr>
        <w:pStyle w:val="STNORMLN-2"/>
        <w:rPr>
          <w:rFonts w:cs="Segoe UI"/>
        </w:rPr>
      </w:pPr>
      <w:r>
        <w:rPr>
          <w:rFonts w:cs="Segoe UI"/>
        </w:rPr>
        <w:t>Rovněž ř</w:t>
      </w:r>
      <w:r w:rsidR="00E232E0">
        <w:rPr>
          <w:rFonts w:cs="Segoe UI"/>
        </w:rPr>
        <w:t>ešení p</w:t>
      </w:r>
      <w:r w:rsidR="0098545F" w:rsidRPr="00B83ED2">
        <w:rPr>
          <w:rFonts w:cs="Segoe UI"/>
        </w:rPr>
        <w:t>odmín</w:t>
      </w:r>
      <w:r w:rsidR="00E232E0">
        <w:rPr>
          <w:rFonts w:cs="Segoe UI"/>
        </w:rPr>
        <w:t>e</w:t>
      </w:r>
      <w:r w:rsidR="0098545F" w:rsidRPr="00B83ED2">
        <w:rPr>
          <w:rFonts w:cs="Segoe UI"/>
        </w:rPr>
        <w:t xml:space="preserve">k </w:t>
      </w:r>
      <w:r w:rsidR="00E232E0">
        <w:rPr>
          <w:rFonts w:cs="Segoe UI"/>
        </w:rPr>
        <w:t>z předchozího stupně projektové dokumentace, tedy pro rozhodnutí o umístění stavby, které byly odkázány na vyšší stupeň projektové dokumentace</w:t>
      </w:r>
      <w:r>
        <w:rPr>
          <w:rFonts w:cs="Segoe UI"/>
        </w:rPr>
        <w:t>, je zapracováno zde.</w:t>
      </w:r>
    </w:p>
    <w:p w14:paraId="357D1BB4" w14:textId="3E3EB430" w:rsidR="002322D2" w:rsidRDefault="002322D2" w:rsidP="002322D2">
      <w:pPr>
        <w:pStyle w:val="STNORMLN-2"/>
        <w:spacing w:after="0"/>
        <w:rPr>
          <w:rFonts w:cs="Segoe UI"/>
        </w:rPr>
      </w:pPr>
      <w:r>
        <w:rPr>
          <w:rFonts w:cs="Segoe UI"/>
        </w:rPr>
        <w:t>Upozornění na podmínky provádění stavby přenesená ze vyjádření a stanovisek DOSS:</w:t>
      </w:r>
    </w:p>
    <w:p w14:paraId="33DEBA82" w14:textId="4E0537C7" w:rsidR="00EB771A" w:rsidRDefault="00F841C5" w:rsidP="009C6439">
      <w:pPr>
        <w:pStyle w:val="STNORMLN-2"/>
        <w:numPr>
          <w:ilvl w:val="0"/>
          <w:numId w:val="14"/>
        </w:numPr>
        <w:rPr>
          <w:rFonts w:cs="Segoe UI"/>
        </w:rPr>
      </w:pPr>
      <w:r>
        <w:rPr>
          <w:rFonts w:cs="Segoe UI"/>
        </w:rPr>
        <w:t>Po dokončení stavby dodavatele předloží místopřísežné prohlášení, že pro stavbu vnitřních rozvodů pitné a teplé vody použil pouze materiál vyhovující požadavků, §5 odst. 1-3 zákona 258/2000 Sb., o ochraně veřejného zdraví a §3</w:t>
      </w:r>
      <w:r w:rsidR="004D70DA">
        <w:rPr>
          <w:rFonts w:cs="Segoe UI"/>
        </w:rPr>
        <w:t xml:space="preserve"> vyhlášky č. 409/2005 Sb. o hygienických požadavcích na výrobky přicházející do přímého styku s vodou a úpravu vody.</w:t>
      </w:r>
    </w:p>
    <w:p w14:paraId="78AE40B0" w14:textId="466EBCC8" w:rsidR="009C6439" w:rsidRDefault="009C6439" w:rsidP="009C6439">
      <w:pPr>
        <w:pStyle w:val="STNORMLN-2"/>
        <w:numPr>
          <w:ilvl w:val="0"/>
          <w:numId w:val="14"/>
        </w:numPr>
        <w:rPr>
          <w:rFonts w:cs="Segoe UI"/>
        </w:rPr>
      </w:pPr>
      <w:r w:rsidRPr="009C6439">
        <w:rPr>
          <w:rFonts w:cs="Segoe UI"/>
        </w:rPr>
        <w:t>Na stavbě nesmějí být umístěna taková světla nebo barevné plochy, které by mohly vést k záměně s drážními znaky nebo jinak ohrozit bezpečný provoz dráhy.</w:t>
      </w:r>
    </w:p>
    <w:p w14:paraId="2749F7CB" w14:textId="77777777" w:rsidR="009C6439" w:rsidRPr="002370CD" w:rsidRDefault="009C6439" w:rsidP="002370CD">
      <w:pPr>
        <w:pStyle w:val="STNORMLN-2"/>
        <w:numPr>
          <w:ilvl w:val="0"/>
          <w:numId w:val="14"/>
        </w:numPr>
        <w:rPr>
          <w:rFonts w:cs="Segoe UI"/>
        </w:rPr>
      </w:pPr>
      <w:r w:rsidRPr="002370CD">
        <w:rPr>
          <w:rFonts w:cs="Segoe UI"/>
        </w:rPr>
        <w:t>Při provádění stavby nesmí být ohrožena bezpečnost a plynulost železničního provozu.</w:t>
      </w:r>
    </w:p>
    <w:p w14:paraId="71D31269" w14:textId="55C72AEE" w:rsidR="002370CD" w:rsidRPr="002370CD" w:rsidRDefault="002370CD" w:rsidP="002370CD">
      <w:pPr>
        <w:pStyle w:val="STNORMLN-2"/>
        <w:numPr>
          <w:ilvl w:val="0"/>
          <w:numId w:val="14"/>
        </w:numPr>
        <w:rPr>
          <w:rFonts w:cs="Segoe UI"/>
        </w:rPr>
      </w:pPr>
      <w:r w:rsidRPr="002370CD">
        <w:rPr>
          <w:rFonts w:cs="Segoe UI"/>
        </w:rPr>
        <w:t xml:space="preserve">Stavba bude respektovat energetická zařízení v majetku ČEZ Distribuce a.s. na která se vztahuje Zák. č. 458/2000 </w:t>
      </w:r>
      <w:r w:rsidR="00605742" w:rsidRPr="002370CD">
        <w:rPr>
          <w:rFonts w:cs="Segoe UI"/>
        </w:rPr>
        <w:t>Sb.</w:t>
      </w:r>
      <w:r w:rsidRPr="002370CD">
        <w:rPr>
          <w:rFonts w:cs="Segoe UI"/>
        </w:rPr>
        <w:t xml:space="preserve"> §46 ochranná pásma</w:t>
      </w:r>
    </w:p>
    <w:p w14:paraId="1ED3C94A" w14:textId="0746AC30" w:rsidR="002370CD" w:rsidRPr="002370CD" w:rsidRDefault="002370CD" w:rsidP="002370CD">
      <w:pPr>
        <w:pStyle w:val="STNORMLN-2"/>
        <w:numPr>
          <w:ilvl w:val="0"/>
          <w:numId w:val="14"/>
        </w:numPr>
        <w:rPr>
          <w:rFonts w:cs="Segoe UI"/>
        </w:rPr>
      </w:pPr>
      <w:r w:rsidRPr="002370CD">
        <w:rPr>
          <w:rFonts w:cs="Segoe UI"/>
        </w:rPr>
        <w:t>El. napojení a smluvní zajištění rezervního příkonu musí být řešeno na základě podané žádosti o připojení elektrického zařízení k distribuční soustavě</w:t>
      </w:r>
      <w:r>
        <w:rPr>
          <w:rFonts w:cs="Segoe UI"/>
        </w:rPr>
        <w:t>.</w:t>
      </w:r>
    </w:p>
    <w:p w14:paraId="214D2325" w14:textId="7D6B9DBB" w:rsidR="009C6439" w:rsidRDefault="00680FDF" w:rsidP="009C6439">
      <w:pPr>
        <w:pStyle w:val="STNORMLN-2"/>
        <w:numPr>
          <w:ilvl w:val="0"/>
          <w:numId w:val="14"/>
        </w:numPr>
        <w:rPr>
          <w:rFonts w:cs="Segoe UI"/>
        </w:rPr>
      </w:pPr>
      <w:r>
        <w:rPr>
          <w:rFonts w:cs="Segoe UI"/>
        </w:rPr>
        <w:t>Nutno uzavřít novou smlouvu o připojení k plynové distribuční soustavě.</w:t>
      </w:r>
    </w:p>
    <w:p w14:paraId="248F01CD" w14:textId="695B9BC3" w:rsidR="005864C4" w:rsidRDefault="005864C4" w:rsidP="009C6439">
      <w:pPr>
        <w:pStyle w:val="STNORMLN-2"/>
        <w:numPr>
          <w:ilvl w:val="0"/>
          <w:numId w:val="14"/>
        </w:numPr>
        <w:rPr>
          <w:rFonts w:cs="Segoe UI"/>
        </w:rPr>
      </w:pPr>
      <w:r>
        <w:rPr>
          <w:rFonts w:cs="Segoe UI"/>
        </w:rPr>
        <w:t>Před zahájením stavby bude provedeno vytýčení stávající podzemní přípojky plynu a zásobovacího přilehlého plynovodu</w:t>
      </w:r>
    </w:p>
    <w:p w14:paraId="1CF31721" w14:textId="428B2F85" w:rsidR="005864C4" w:rsidRDefault="005864C4" w:rsidP="009C6439">
      <w:pPr>
        <w:pStyle w:val="STNORMLN-2"/>
        <w:numPr>
          <w:ilvl w:val="0"/>
          <w:numId w:val="14"/>
        </w:numPr>
        <w:rPr>
          <w:rFonts w:cs="Segoe UI"/>
        </w:rPr>
      </w:pPr>
      <w:r>
        <w:rPr>
          <w:rFonts w:cs="Segoe UI"/>
        </w:rPr>
        <w:t xml:space="preserve">Správce sítě plynových zařízení požaduje dodržet ČSN 736005, </w:t>
      </w:r>
      <w:r w:rsidR="005E34C4">
        <w:rPr>
          <w:rFonts w:cs="Segoe UI"/>
        </w:rPr>
        <w:t>TGP,702 01 a 702 04, zákon č.458/2000 Sb. a případně další předpisy a ČSN související s touto stavbou.</w:t>
      </w:r>
    </w:p>
    <w:p w14:paraId="70AADB74" w14:textId="7D25BDE2" w:rsidR="00BB4761" w:rsidRDefault="00BB4761" w:rsidP="009C6439">
      <w:pPr>
        <w:pStyle w:val="STNORMLN-2"/>
        <w:numPr>
          <w:ilvl w:val="0"/>
          <w:numId w:val="14"/>
        </w:numPr>
        <w:rPr>
          <w:rFonts w:cs="Segoe UI"/>
        </w:rPr>
      </w:pPr>
      <w:r>
        <w:rPr>
          <w:rFonts w:cs="Segoe UI"/>
        </w:rPr>
        <w:t>SŽDC požaduje dodržování technologických pro</w:t>
      </w:r>
      <w:r w:rsidR="0083747E">
        <w:rPr>
          <w:rFonts w:cs="Segoe UI"/>
        </w:rPr>
        <w:t>cesů výstavby podle dohodnutého harmonogramu b</w:t>
      </w:r>
      <w:r w:rsidR="0007659D">
        <w:rPr>
          <w:rFonts w:cs="Segoe UI"/>
        </w:rPr>
        <w:t>ě</w:t>
      </w:r>
      <w:r w:rsidR="0083747E">
        <w:rPr>
          <w:rFonts w:cs="Segoe UI"/>
        </w:rPr>
        <w:t>hem cel</w:t>
      </w:r>
      <w:r w:rsidR="0007659D">
        <w:rPr>
          <w:rFonts w:cs="Segoe UI"/>
        </w:rPr>
        <w:t>é stavby a dále investor musí pokyny odpovědného zástupce OŘ Praha.</w:t>
      </w:r>
    </w:p>
    <w:p w14:paraId="2BF28761" w14:textId="10C12F96" w:rsidR="0007659D" w:rsidRPr="00546C4E" w:rsidRDefault="0007659D" w:rsidP="00546C4E">
      <w:pPr>
        <w:pStyle w:val="STNORMLN-2"/>
        <w:numPr>
          <w:ilvl w:val="0"/>
          <w:numId w:val="14"/>
        </w:numPr>
        <w:rPr>
          <w:rFonts w:cs="Segoe UI"/>
        </w:rPr>
      </w:pPr>
      <w:r>
        <w:rPr>
          <w:rFonts w:cs="Segoe UI"/>
        </w:rPr>
        <w:t xml:space="preserve">Zahájení stavby v ochranném pásmu železnice je nutné SŽDC písemně na e-mailovou adresu </w:t>
      </w:r>
      <w:hyperlink r:id="rId8" w:history="1">
        <w:r w:rsidR="00546C4E" w:rsidRPr="00263609">
          <w:rPr>
            <w:rStyle w:val="Hypertextovodkaz"/>
            <w:rFonts w:cs="Segoe UI"/>
          </w:rPr>
          <w:t>epodatelnaorpha@szdc.cz</w:t>
        </w:r>
      </w:hyperlink>
      <w:r w:rsidR="00546C4E">
        <w:rPr>
          <w:rFonts w:cs="Segoe UI"/>
        </w:rPr>
        <w:t xml:space="preserve"> a současně telefonicky pan </w:t>
      </w:r>
      <w:r w:rsidR="00605742">
        <w:rPr>
          <w:rFonts w:cs="Segoe UI"/>
        </w:rPr>
        <w:t>Jindřich</w:t>
      </w:r>
      <w:r w:rsidR="00546C4E">
        <w:rPr>
          <w:rFonts w:cs="Segoe UI"/>
        </w:rPr>
        <w:t xml:space="preserve"> Bígl, tel. 725 712 673. Ohlášení bude podáno 14 dní před zahájením stavby a bude obsahovat č.j. S12766/US-53270/2019-SŽDC-OŘ PHA-OPS.</w:t>
      </w:r>
    </w:p>
    <w:p w14:paraId="3939A363" w14:textId="77777777" w:rsidR="004D70DA" w:rsidRDefault="004D70DA" w:rsidP="0022034C">
      <w:pPr>
        <w:pStyle w:val="STNORMLN-2"/>
        <w:rPr>
          <w:rFonts w:cs="Segoe UI"/>
        </w:rPr>
      </w:pPr>
    </w:p>
    <w:p w14:paraId="7105E2F7" w14:textId="2007D9F0" w:rsidR="00666055" w:rsidRPr="00EB771A" w:rsidRDefault="00E47484" w:rsidP="00E35D91">
      <w:pPr>
        <w:pStyle w:val="STodrkyabc"/>
      </w:pPr>
      <w:bookmarkStart w:id="20" w:name="_Toc24561535"/>
      <w:bookmarkStart w:id="21" w:name="_Toc24561640"/>
      <w:bookmarkEnd w:id="19"/>
      <w:r w:rsidRPr="00EB771A">
        <w:t>Výčet a závěry provedených průzkumů a rozborů</w:t>
      </w:r>
      <w:r w:rsidR="00666055" w:rsidRPr="00EB771A">
        <w:t>.</w:t>
      </w:r>
      <w:bookmarkEnd w:id="20"/>
      <w:bookmarkEnd w:id="21"/>
    </w:p>
    <w:p w14:paraId="09E119E4" w14:textId="647B01D2" w:rsidR="00666055" w:rsidRDefault="0098545F" w:rsidP="004E62A9">
      <w:pPr>
        <w:pStyle w:val="STNORMLN-2"/>
      </w:pPr>
      <w:r w:rsidRPr="00B83ED2">
        <w:t xml:space="preserve">Na místě stavby byl proveden </w:t>
      </w:r>
      <w:r w:rsidR="00E37DB2">
        <w:t xml:space="preserve">technický průzkum. Závěr je doložen v části 00E – Dokladová část.   </w:t>
      </w:r>
      <w:r w:rsidR="00C5202A">
        <w:t xml:space="preserve"> </w:t>
      </w:r>
      <w:r w:rsidR="00E37DB2">
        <w:t xml:space="preserve"> </w:t>
      </w:r>
    </w:p>
    <w:p w14:paraId="483565EB" w14:textId="416D253A" w:rsidR="00E47484" w:rsidRPr="00EB771A" w:rsidRDefault="00E47484" w:rsidP="00E35D91">
      <w:pPr>
        <w:pStyle w:val="STodrkyabc"/>
      </w:pPr>
      <w:bookmarkStart w:id="22" w:name="_Toc24561536"/>
      <w:bookmarkStart w:id="23" w:name="_Toc24561641"/>
      <w:r w:rsidRPr="00EB771A">
        <w:t>Ochrana území podle jiných právních předpisů.</w:t>
      </w:r>
      <w:bookmarkEnd w:id="22"/>
      <w:bookmarkEnd w:id="23"/>
    </w:p>
    <w:p w14:paraId="1410EA5B" w14:textId="3343D2DA" w:rsidR="003B7A99" w:rsidRPr="00B83ED2" w:rsidRDefault="00E7781F" w:rsidP="00E47484">
      <w:pPr>
        <w:pStyle w:val="STNORMLN-2"/>
        <w:jc w:val="left"/>
        <w:rPr>
          <w:rFonts w:cs="Segoe UI"/>
        </w:rPr>
      </w:pPr>
      <w:r>
        <w:rPr>
          <w:rFonts w:cs="Segoe UI"/>
        </w:rPr>
        <w:t>Stávající o</w:t>
      </w:r>
      <w:r w:rsidR="0098545F" w:rsidRPr="00B83ED2">
        <w:rPr>
          <w:rFonts w:cs="Segoe UI"/>
        </w:rPr>
        <w:t xml:space="preserve">bjekt </w:t>
      </w:r>
      <w:r>
        <w:rPr>
          <w:rFonts w:cs="Segoe UI"/>
        </w:rPr>
        <w:t xml:space="preserve">sám o sobě není </w:t>
      </w:r>
      <w:r w:rsidR="0098545F" w:rsidRPr="00B83ED2">
        <w:rPr>
          <w:rFonts w:cs="Segoe UI"/>
        </w:rPr>
        <w:t>kulturní památkou</w:t>
      </w:r>
      <w:r>
        <w:rPr>
          <w:rFonts w:cs="Segoe UI"/>
        </w:rPr>
        <w:t>, ale nachází se v z</w:t>
      </w:r>
      <w:r w:rsidR="00D1229F">
        <w:rPr>
          <w:rFonts w:cs="Segoe UI"/>
        </w:rPr>
        <w:t>ó</w:t>
      </w:r>
      <w:r>
        <w:rPr>
          <w:rFonts w:cs="Segoe UI"/>
        </w:rPr>
        <w:t>ně památkové péče.</w:t>
      </w:r>
      <w:r w:rsidR="0098545F" w:rsidRPr="00B83ED2">
        <w:rPr>
          <w:rFonts w:cs="Segoe UI"/>
        </w:rPr>
        <w:t xml:space="preserve"> </w:t>
      </w:r>
      <w:r w:rsidR="00D1229F">
        <w:rPr>
          <w:rFonts w:cs="Segoe UI"/>
        </w:rPr>
        <w:t xml:space="preserve">Dále přestavovaný domek stojí </w:t>
      </w:r>
      <w:r w:rsidR="0098545F" w:rsidRPr="00B83ED2">
        <w:rPr>
          <w:rFonts w:cs="Segoe UI"/>
        </w:rPr>
        <w:t>v </w:t>
      </w:r>
      <w:r w:rsidR="00504824" w:rsidRPr="00B83ED2">
        <w:rPr>
          <w:rFonts w:cs="Segoe UI"/>
        </w:rPr>
        <w:t>ochrann</w:t>
      </w:r>
      <w:r w:rsidR="00504824">
        <w:rPr>
          <w:rFonts w:cs="Segoe UI"/>
        </w:rPr>
        <w:t>ém</w:t>
      </w:r>
      <w:r w:rsidR="00504824" w:rsidRPr="00B83ED2">
        <w:rPr>
          <w:rFonts w:cs="Segoe UI"/>
        </w:rPr>
        <w:t xml:space="preserve"> pásm</w:t>
      </w:r>
      <w:r w:rsidR="00504824">
        <w:rPr>
          <w:rFonts w:cs="Segoe UI"/>
        </w:rPr>
        <w:t>u</w:t>
      </w:r>
      <w:r w:rsidR="00504824" w:rsidRPr="00B83ED2">
        <w:rPr>
          <w:rFonts w:cs="Segoe UI"/>
        </w:rPr>
        <w:t xml:space="preserve"> </w:t>
      </w:r>
      <w:r w:rsidR="00D1229F">
        <w:rPr>
          <w:rFonts w:cs="Segoe UI"/>
        </w:rPr>
        <w:t>železnice</w:t>
      </w:r>
      <w:r w:rsidR="00DD0665">
        <w:rPr>
          <w:rFonts w:cs="Segoe UI"/>
        </w:rPr>
        <w:t>.</w:t>
      </w:r>
    </w:p>
    <w:p w14:paraId="14682E92" w14:textId="7CC03713" w:rsidR="00AE0A6F" w:rsidRPr="00EB771A" w:rsidRDefault="00AE0A6F" w:rsidP="00E35D91">
      <w:pPr>
        <w:pStyle w:val="STodrkyabc"/>
      </w:pPr>
      <w:bookmarkStart w:id="24" w:name="_Toc24561537"/>
      <w:bookmarkStart w:id="25" w:name="_Toc24561642"/>
      <w:r w:rsidRPr="00EB771A">
        <w:t>Poloha stavby vzhledem k záplavovému a poddolovanému území.</w:t>
      </w:r>
      <w:bookmarkEnd w:id="24"/>
      <w:bookmarkEnd w:id="25"/>
    </w:p>
    <w:p w14:paraId="38146822" w14:textId="423532B8" w:rsidR="004267E0" w:rsidRPr="00B83ED2" w:rsidRDefault="00AE0A6F" w:rsidP="004267E0">
      <w:pPr>
        <w:pStyle w:val="STNORMLN-2"/>
        <w:rPr>
          <w:rFonts w:cs="Segoe UI"/>
        </w:rPr>
      </w:pPr>
      <w:r w:rsidRPr="00B83ED2">
        <w:rPr>
          <w:rFonts w:cs="Segoe UI"/>
        </w:rPr>
        <w:t>Předmětná stavba se nenachází v záplavovém ani poddolovaném území.</w:t>
      </w:r>
    </w:p>
    <w:p w14:paraId="45AEE945" w14:textId="4A37A71A" w:rsidR="00AE0A6F" w:rsidRPr="00EB771A" w:rsidRDefault="00AE0A6F" w:rsidP="00E35D91">
      <w:pPr>
        <w:pStyle w:val="STodrkyabc"/>
      </w:pPr>
      <w:bookmarkStart w:id="26" w:name="_Toc24561538"/>
      <w:bookmarkStart w:id="27" w:name="_Toc24561643"/>
      <w:r w:rsidRPr="00EB771A">
        <w:t>Vliv stavby na okolní zástavbu, ochrana okolí, odtokové poměry v území.</w:t>
      </w:r>
      <w:bookmarkEnd w:id="26"/>
      <w:bookmarkEnd w:id="27"/>
    </w:p>
    <w:p w14:paraId="17D17E8F" w14:textId="16CB1FF6" w:rsidR="00437F92" w:rsidRPr="00DD0665" w:rsidRDefault="00AE0A6F" w:rsidP="005A5A6D">
      <w:pPr>
        <w:pStyle w:val="STNORMLN-2"/>
        <w:rPr>
          <w:rFonts w:cs="Segoe UI"/>
          <w:color w:val="auto"/>
        </w:rPr>
      </w:pPr>
      <w:r w:rsidRPr="00B83ED2">
        <w:rPr>
          <w:rFonts w:cs="Segoe UI"/>
        </w:rPr>
        <w:t xml:space="preserve">Předmětná stavba nebude mít při její realizaci, ani po jejím dokončení </w:t>
      </w:r>
      <w:r w:rsidR="005A5A6D" w:rsidRPr="00B83ED2">
        <w:rPr>
          <w:rFonts w:cs="Segoe UI"/>
        </w:rPr>
        <w:t xml:space="preserve">negativní </w:t>
      </w:r>
      <w:r w:rsidRPr="00B83ED2">
        <w:rPr>
          <w:rFonts w:cs="Segoe UI"/>
        </w:rPr>
        <w:t xml:space="preserve">vliv na okolní zástavbu. Pro předmětnou stavbu nejsou vyžadovány žádné způsoby ochrany okolí stavby. </w:t>
      </w:r>
      <w:r w:rsidR="005A5A6D" w:rsidRPr="00B83ED2">
        <w:rPr>
          <w:rFonts w:cs="Segoe UI"/>
        </w:rPr>
        <w:t xml:space="preserve">Výstavba bude dodržovat veškerá hygienická a související nařízení a zvyklosti eliminující případné negativní dopady na blízké okolí. Po celou dobu stavební činnosti bude použito postupů a prostředků zajišťujících eliminaci možné produkce prachu tak, aby nebylo zatíženo okolní prostředí. Po celou dobu výstavby musí být zajištěna průběžná údržba a čištění komunikací (vozovek i chodníků) dotčených stavbou. </w:t>
      </w:r>
      <w:r w:rsidR="005A5A6D" w:rsidRPr="00DD0665">
        <w:rPr>
          <w:rFonts w:cs="Segoe UI"/>
          <w:color w:val="auto"/>
        </w:rPr>
        <w:t>Během výstavby dojde</w:t>
      </w:r>
      <w:r w:rsidR="00FA77FA" w:rsidRPr="00DD0665">
        <w:rPr>
          <w:rFonts w:cs="Segoe UI"/>
          <w:color w:val="auto"/>
        </w:rPr>
        <w:t xml:space="preserve"> k </w:t>
      </w:r>
      <w:r w:rsidR="00B91412" w:rsidRPr="00DD0665">
        <w:rPr>
          <w:rFonts w:cs="Segoe UI"/>
          <w:color w:val="auto"/>
        </w:rPr>
        <w:t>částečnému odbourání</w:t>
      </w:r>
      <w:r w:rsidR="005A5A6D" w:rsidRPr="00DD0665">
        <w:rPr>
          <w:rFonts w:cs="Segoe UI"/>
          <w:color w:val="auto"/>
        </w:rPr>
        <w:t xml:space="preserve"> chodníku.</w:t>
      </w:r>
    </w:p>
    <w:p w14:paraId="1AEA16FD" w14:textId="4CD8021F" w:rsidR="006C1329" w:rsidRDefault="00A46FC8" w:rsidP="00904061">
      <w:pPr>
        <w:pStyle w:val="STNORMLN-2"/>
        <w:rPr>
          <w:rFonts w:cs="Segoe UI"/>
          <w:color w:val="auto"/>
        </w:rPr>
      </w:pPr>
      <w:bookmarkStart w:id="28" w:name="_Hlk13044408"/>
      <w:r w:rsidRPr="00B83ED2">
        <w:rPr>
          <w:rFonts w:cs="Segoe UI"/>
        </w:rPr>
        <w:t xml:space="preserve">V současnosti jsou dešťové vody ze střech sváděny </w:t>
      </w:r>
      <w:r w:rsidR="00F44CE1">
        <w:rPr>
          <w:rFonts w:cs="Segoe UI"/>
        </w:rPr>
        <w:t xml:space="preserve">dešťovými svody a dále kanalizační přípojkou </w:t>
      </w:r>
      <w:r w:rsidRPr="00B83ED2">
        <w:rPr>
          <w:rFonts w:cs="Segoe UI"/>
        </w:rPr>
        <w:t>do městské kanalizace.</w:t>
      </w:r>
      <w:r w:rsidR="0017126F" w:rsidRPr="00B83ED2">
        <w:rPr>
          <w:rFonts w:cs="Segoe UI"/>
        </w:rPr>
        <w:t xml:space="preserve"> </w:t>
      </w:r>
      <w:bookmarkStart w:id="29" w:name="_Hlk13148971"/>
      <w:r w:rsidR="0017126F" w:rsidRPr="0034343D">
        <w:rPr>
          <w:rFonts w:cs="Segoe UI"/>
          <w:color w:val="auto"/>
        </w:rPr>
        <w:t xml:space="preserve">Ve smyslu zákona č.254/2001 Sb., o vodách (vodní zákon) §5, odst. (3) </w:t>
      </w:r>
      <w:r w:rsidR="00F44CE1">
        <w:rPr>
          <w:rFonts w:cs="Segoe UI"/>
          <w:color w:val="auto"/>
        </w:rPr>
        <w:t xml:space="preserve">senově svedou do </w:t>
      </w:r>
      <w:bookmarkEnd w:id="28"/>
      <w:bookmarkEnd w:id="29"/>
      <w:r w:rsidR="00BA3BB3" w:rsidRPr="00BA3BB3">
        <w:rPr>
          <w:rFonts w:cs="Segoe UI"/>
          <w:color w:val="auto"/>
        </w:rPr>
        <w:t>vsakovacího objektu</w:t>
      </w:r>
      <w:r w:rsidR="00F44CE1">
        <w:rPr>
          <w:rFonts w:cs="Segoe UI"/>
          <w:color w:val="auto"/>
        </w:rPr>
        <w:t xml:space="preserve">, zhotoveném na pozemku </w:t>
      </w:r>
      <w:r w:rsidR="00605742">
        <w:rPr>
          <w:rFonts w:cs="Segoe UI"/>
          <w:color w:val="auto"/>
        </w:rPr>
        <w:t>investora.</w:t>
      </w:r>
      <w:r w:rsidR="00BA3BB3" w:rsidRPr="00BA3BB3">
        <w:rPr>
          <w:rFonts w:cs="Segoe UI"/>
          <w:color w:val="auto"/>
        </w:rPr>
        <w:t xml:space="preserve"> </w:t>
      </w:r>
    </w:p>
    <w:p w14:paraId="1DA59A00" w14:textId="4E0986A7" w:rsidR="00555226" w:rsidRPr="00EB771A" w:rsidRDefault="00555226" w:rsidP="00E35D91">
      <w:pPr>
        <w:pStyle w:val="STodrkyabc"/>
      </w:pPr>
      <w:bookmarkStart w:id="30" w:name="_Toc24561539"/>
      <w:bookmarkStart w:id="31" w:name="_Toc24561644"/>
      <w:r w:rsidRPr="00EB771A">
        <w:t>Požadavky na asanace, demolice a kácení dřevin.</w:t>
      </w:r>
      <w:bookmarkEnd w:id="30"/>
      <w:bookmarkEnd w:id="31"/>
    </w:p>
    <w:p w14:paraId="11672F64" w14:textId="3A39148D" w:rsidR="00555226" w:rsidRDefault="00ED66AA" w:rsidP="00555226">
      <w:pPr>
        <w:pStyle w:val="STNORMLN-2"/>
        <w:rPr>
          <w:rFonts w:cs="Segoe UI"/>
        </w:rPr>
      </w:pPr>
      <w:r w:rsidRPr="00B83ED2">
        <w:rPr>
          <w:rFonts w:cs="Segoe UI"/>
        </w:rPr>
        <w:t xml:space="preserve">Součástí rekonstrukce budou bourací práce uvnitř dispozic jednotlivých podlaží i vně objektu. </w:t>
      </w:r>
      <w:r w:rsidR="008577B6" w:rsidRPr="00B83ED2">
        <w:rPr>
          <w:rFonts w:cs="Segoe UI"/>
        </w:rPr>
        <w:t>Bude provedeno obnažení podzemní části budovy</w:t>
      </w:r>
      <w:r w:rsidR="00504824">
        <w:rPr>
          <w:rFonts w:cs="Segoe UI"/>
        </w:rPr>
        <w:t xml:space="preserve"> na úroveň základové spáry</w:t>
      </w:r>
      <w:r w:rsidR="008577B6" w:rsidRPr="00B83ED2">
        <w:rPr>
          <w:rFonts w:cs="Segoe UI"/>
        </w:rPr>
        <w:t xml:space="preserve">, očistění zdiva od stávajících izolačních systémů včetně přizdívek. </w:t>
      </w:r>
      <w:r w:rsidR="00504824">
        <w:rPr>
          <w:rFonts w:cs="Segoe UI"/>
        </w:rPr>
        <w:t>Budou vybourány výplně otvorů</w:t>
      </w:r>
      <w:r w:rsidR="0053013A">
        <w:rPr>
          <w:rFonts w:cs="Segoe UI"/>
        </w:rPr>
        <w:t>, vstupní arkýř na jižní a západní straně budovy</w:t>
      </w:r>
      <w:r w:rsidR="00504824">
        <w:rPr>
          <w:rFonts w:cs="Segoe UI"/>
        </w:rPr>
        <w:t xml:space="preserve"> a </w:t>
      </w:r>
      <w:r w:rsidR="0053013A">
        <w:rPr>
          <w:rFonts w:cs="Segoe UI"/>
        </w:rPr>
        <w:t xml:space="preserve">bude </w:t>
      </w:r>
      <w:r w:rsidR="00504824">
        <w:rPr>
          <w:rFonts w:cs="Segoe UI"/>
        </w:rPr>
        <w:t xml:space="preserve">snesena celá střešní skladba na nosnou konstrukci. </w:t>
      </w:r>
      <w:commentRangeStart w:id="32"/>
      <w:r w:rsidR="000B1DF1" w:rsidDel="00BE3844">
        <w:rPr>
          <w:rFonts w:cs="Segoe UI"/>
        </w:rPr>
        <w:t xml:space="preserve">Stavba vyžaduje kácení </w:t>
      </w:r>
      <w:r w:rsidR="00504824" w:rsidDel="00BE3844">
        <w:rPr>
          <w:rFonts w:cs="Segoe UI"/>
        </w:rPr>
        <w:t xml:space="preserve">zchátralé </w:t>
      </w:r>
      <w:r w:rsidR="0034343D" w:rsidDel="00BE3844">
        <w:rPr>
          <w:rFonts w:cs="Segoe UI"/>
        </w:rPr>
        <w:t>ovocné dřeviny.</w:t>
      </w:r>
      <w:commentRangeEnd w:id="32"/>
      <w:r w:rsidR="0053013A" w:rsidDel="00BE3844">
        <w:rPr>
          <w:rStyle w:val="Odkaznakoment"/>
          <w:rFonts w:asciiTheme="minorHAnsi" w:hAnsiTheme="minorHAnsi"/>
          <w:color w:val="auto"/>
        </w:rPr>
        <w:commentReference w:id="32"/>
      </w:r>
    </w:p>
    <w:p w14:paraId="18E46ACB" w14:textId="5E5AED27" w:rsidR="0053013A" w:rsidRPr="00B83ED2" w:rsidRDefault="0053013A" w:rsidP="00555226">
      <w:pPr>
        <w:pStyle w:val="STNORMLN-2"/>
        <w:rPr>
          <w:rFonts w:cs="Segoe UI"/>
        </w:rPr>
      </w:pPr>
      <w:r>
        <w:rPr>
          <w:rFonts w:cs="Segoe UI"/>
        </w:rPr>
        <w:t>Garážová vrata ve východní fasádě</w:t>
      </w:r>
      <w:r w:rsidR="00771E22">
        <w:rPr>
          <w:rFonts w:cs="Segoe UI"/>
        </w:rPr>
        <w:t xml:space="preserve"> budou vybourána, otvory po vratech zazděny a bude osazeno okno do technické místnosti. </w:t>
      </w:r>
      <w:r w:rsidR="00605742">
        <w:rPr>
          <w:rFonts w:cs="Segoe UI"/>
        </w:rPr>
        <w:t xml:space="preserve">Nakonec v rámci objektu 0601 se </w:t>
      </w:r>
      <w:commentRangeStart w:id="33"/>
      <w:r w:rsidR="00771E22">
        <w:rPr>
          <w:rFonts w:cs="Segoe UI"/>
        </w:rPr>
        <w:t>provede reprofilace chodníku přilehlého k objektu před vraty, včetně obrubníku místní komunikace.</w:t>
      </w:r>
      <w:commentRangeEnd w:id="33"/>
      <w:r w:rsidR="00771E22">
        <w:rPr>
          <w:rStyle w:val="Odkaznakoment"/>
          <w:rFonts w:asciiTheme="minorHAnsi" w:hAnsiTheme="minorHAnsi"/>
          <w:color w:val="auto"/>
        </w:rPr>
        <w:commentReference w:id="33"/>
      </w:r>
    </w:p>
    <w:p w14:paraId="18F851C7" w14:textId="4990A671" w:rsidR="00555226" w:rsidRPr="00EB771A" w:rsidRDefault="00555226" w:rsidP="00E35D91">
      <w:pPr>
        <w:pStyle w:val="STodrkyabc"/>
      </w:pPr>
      <w:bookmarkStart w:id="34" w:name="_Toc24561540"/>
      <w:bookmarkStart w:id="35" w:name="_Toc24561645"/>
      <w:r w:rsidRPr="00EB771A">
        <w:t xml:space="preserve">Požadavky na maximální dočasné a trvalé zábory zemědělského půdního fondu </w:t>
      </w:r>
      <w:r w:rsidR="009A725E" w:rsidRPr="00EB771A">
        <w:t xml:space="preserve">(ZPF) </w:t>
      </w:r>
      <w:r w:rsidRPr="00EB771A">
        <w:t>nebo pozemků určených k plnění funkcí lesa</w:t>
      </w:r>
      <w:r w:rsidR="009A725E" w:rsidRPr="00EB771A">
        <w:t xml:space="preserve"> (PUPFL)</w:t>
      </w:r>
      <w:r w:rsidRPr="00EB771A">
        <w:t>.</w:t>
      </w:r>
      <w:bookmarkEnd w:id="34"/>
      <w:bookmarkEnd w:id="35"/>
    </w:p>
    <w:p w14:paraId="0965EF2D" w14:textId="42B1C59A" w:rsidR="00555226" w:rsidRPr="00B83ED2" w:rsidRDefault="00555226" w:rsidP="00555226">
      <w:pPr>
        <w:pStyle w:val="STNORMLN-2"/>
        <w:rPr>
          <w:rFonts w:cs="Segoe UI"/>
        </w:rPr>
      </w:pPr>
      <w:commentRangeStart w:id="36"/>
      <w:r w:rsidRPr="00B83ED2">
        <w:rPr>
          <w:rFonts w:cs="Segoe UI"/>
        </w:rPr>
        <w:t xml:space="preserve">Předmětná stavba nevyžaduje žádné </w:t>
      </w:r>
      <w:r w:rsidR="009A725E" w:rsidRPr="00B83ED2">
        <w:rPr>
          <w:rFonts w:cs="Segoe UI"/>
        </w:rPr>
        <w:t>dočasné ani trvalé zábory PUPFL</w:t>
      </w:r>
      <w:r w:rsidRPr="00B83ED2">
        <w:rPr>
          <w:rFonts w:cs="Segoe UI"/>
        </w:rPr>
        <w:t>.</w:t>
      </w:r>
      <w:commentRangeEnd w:id="36"/>
      <w:r w:rsidR="00504824">
        <w:rPr>
          <w:rStyle w:val="Odkaznakoment"/>
          <w:rFonts w:asciiTheme="minorHAnsi" w:hAnsiTheme="minorHAnsi"/>
          <w:color w:val="auto"/>
        </w:rPr>
        <w:commentReference w:id="36"/>
      </w:r>
      <w:r w:rsidR="00B56DDB">
        <w:rPr>
          <w:rFonts w:cs="Segoe UI"/>
        </w:rPr>
        <w:t xml:space="preserve"> </w:t>
      </w:r>
      <w:r w:rsidR="005B4B4B">
        <w:rPr>
          <w:rFonts w:cs="Segoe UI"/>
        </w:rPr>
        <w:t>Z hlediska zákona č. 334/1992 Sb., o ochraně zemědělského půdního fondu, ve znění pozdějších předpisů bude záměrem dotčen zemědělský půdní fond – pozemek p.č. 496/9 (</w:t>
      </w:r>
      <w:r w:rsidR="00605742">
        <w:rPr>
          <w:rFonts w:cs="Segoe UI"/>
        </w:rPr>
        <w:t>zahrada</w:t>
      </w:r>
      <w:r w:rsidR="005B4B4B">
        <w:rPr>
          <w:rFonts w:cs="Segoe UI"/>
        </w:rPr>
        <w:t xml:space="preserve">) v k.ú. Mladá Boleslav. V souladu s </w:t>
      </w:r>
      <w:r w:rsidR="005B4B4B" w:rsidRPr="005B4B4B">
        <w:rPr>
          <w:rFonts w:cs="Segoe UI"/>
        </w:rPr>
        <w:t>§ 9 odst. 2 písm. b)3</w:t>
      </w:r>
      <w:r w:rsidR="005B4B4B">
        <w:rPr>
          <w:rFonts w:cs="Segoe UI"/>
        </w:rPr>
        <w:t xml:space="preserve"> souhlas s odnětím půdy ze ZPF není třeba.</w:t>
      </w:r>
    </w:p>
    <w:p w14:paraId="7913909D" w14:textId="759B0D2A" w:rsidR="009A725E" w:rsidRPr="00EB771A" w:rsidRDefault="009A725E" w:rsidP="00E35D91">
      <w:pPr>
        <w:pStyle w:val="STodrkyabc"/>
      </w:pPr>
      <w:bookmarkStart w:id="37" w:name="_Toc24561541"/>
      <w:bookmarkStart w:id="38" w:name="_Toc24561646"/>
      <w:r w:rsidRPr="00EB771A">
        <w:t>Územně technické podmínky, zejména možnost napojení na stávající dopravní a</w:t>
      </w:r>
      <w:r w:rsidR="00504824" w:rsidRPr="00EB771A">
        <w:t> </w:t>
      </w:r>
      <w:r w:rsidRPr="00EB771A">
        <w:t>technickou infrastrukturu, možnost bezbariérového přístupu k navrhované stavbě.</w:t>
      </w:r>
      <w:bookmarkEnd w:id="37"/>
      <w:bookmarkEnd w:id="38"/>
    </w:p>
    <w:p w14:paraId="0D3059FE" w14:textId="4C0E60D7" w:rsidR="00A97728" w:rsidRDefault="00437F92" w:rsidP="009A725E">
      <w:pPr>
        <w:pStyle w:val="STNORMLN-2"/>
        <w:rPr>
          <w:rFonts w:cs="Segoe UI"/>
        </w:rPr>
      </w:pPr>
      <w:r w:rsidRPr="00B83ED2">
        <w:rPr>
          <w:rFonts w:cs="Segoe UI"/>
        </w:rPr>
        <w:t xml:space="preserve">Objekt je napojen na </w:t>
      </w:r>
      <w:r w:rsidR="0053013A">
        <w:rPr>
          <w:rFonts w:cs="Segoe UI"/>
        </w:rPr>
        <w:t xml:space="preserve">stávající </w:t>
      </w:r>
      <w:r w:rsidR="0034343D">
        <w:rPr>
          <w:rFonts w:cs="Segoe UI"/>
        </w:rPr>
        <w:t xml:space="preserve">městskou </w:t>
      </w:r>
      <w:r w:rsidRPr="00B83ED2">
        <w:rPr>
          <w:rFonts w:cs="Segoe UI"/>
        </w:rPr>
        <w:t>technickou infrastrukturu</w:t>
      </w:r>
      <w:r w:rsidR="00A46FC8" w:rsidRPr="00B83ED2">
        <w:rPr>
          <w:rFonts w:cs="Segoe UI"/>
        </w:rPr>
        <w:t xml:space="preserve">. </w:t>
      </w:r>
      <w:r w:rsidR="0053013A">
        <w:rPr>
          <w:rFonts w:cs="Segoe UI"/>
        </w:rPr>
        <w:t xml:space="preserve">Objekt je napojen stávajícími přípojkami z Havlíčkovy ulice. </w:t>
      </w:r>
      <w:r w:rsidR="00251EAD" w:rsidRPr="00B83ED2">
        <w:rPr>
          <w:rFonts w:cs="Segoe UI"/>
        </w:rPr>
        <w:t>Stávající v</w:t>
      </w:r>
      <w:r w:rsidR="00A97728" w:rsidRPr="00B83ED2">
        <w:rPr>
          <w:rFonts w:cs="Segoe UI"/>
        </w:rPr>
        <w:t xml:space="preserve">odovodní </w:t>
      </w:r>
      <w:r w:rsidR="00251EAD" w:rsidRPr="00B83ED2">
        <w:rPr>
          <w:rFonts w:cs="Segoe UI"/>
        </w:rPr>
        <w:t xml:space="preserve">přípojka </w:t>
      </w:r>
      <w:r w:rsidR="0053013A">
        <w:rPr>
          <w:rFonts w:cs="Segoe UI"/>
        </w:rPr>
        <w:t>na veřejný</w:t>
      </w:r>
      <w:r w:rsidR="00A97728" w:rsidRPr="00B83ED2">
        <w:rPr>
          <w:rFonts w:cs="Segoe UI"/>
        </w:rPr>
        <w:t> vodovodní ř</w:t>
      </w:r>
      <w:r w:rsidR="0053013A">
        <w:rPr>
          <w:rFonts w:cs="Segoe UI"/>
        </w:rPr>
        <w:t>ad</w:t>
      </w:r>
      <w:r w:rsidR="00251EAD" w:rsidRPr="00B83ED2">
        <w:rPr>
          <w:rFonts w:cs="Segoe UI"/>
        </w:rPr>
        <w:t xml:space="preserve"> je ukončena v objektu na p.č. 1558. </w:t>
      </w:r>
      <w:r w:rsidR="003813B7" w:rsidRPr="00B83ED2">
        <w:rPr>
          <w:rFonts w:cs="Segoe UI"/>
        </w:rPr>
        <w:t xml:space="preserve">Domovní část kanalizace </w:t>
      </w:r>
      <w:r w:rsidR="003813B7">
        <w:rPr>
          <w:rFonts w:cs="Segoe UI"/>
        </w:rPr>
        <w:t>je</w:t>
      </w:r>
      <w:r w:rsidR="003813B7" w:rsidRPr="00B83ED2">
        <w:rPr>
          <w:rFonts w:cs="Segoe UI"/>
        </w:rPr>
        <w:t xml:space="preserve"> prostřednictvím stávající kanalizační přípojky napojena na </w:t>
      </w:r>
      <w:r w:rsidR="003813B7">
        <w:rPr>
          <w:rFonts w:cs="Segoe UI"/>
        </w:rPr>
        <w:t>v</w:t>
      </w:r>
      <w:r w:rsidR="00251EAD" w:rsidRPr="00B83ED2">
        <w:rPr>
          <w:rFonts w:cs="Segoe UI"/>
        </w:rPr>
        <w:t>eřejn</w:t>
      </w:r>
      <w:r w:rsidR="0053013A">
        <w:rPr>
          <w:rFonts w:cs="Segoe UI"/>
        </w:rPr>
        <w:t>ou</w:t>
      </w:r>
      <w:r w:rsidR="00251EAD" w:rsidRPr="00B83ED2">
        <w:rPr>
          <w:rFonts w:cs="Segoe UI"/>
        </w:rPr>
        <w:t xml:space="preserve"> kanalizační stok</w:t>
      </w:r>
      <w:r w:rsidR="0053013A">
        <w:rPr>
          <w:rFonts w:cs="Segoe UI"/>
        </w:rPr>
        <w:t>u.</w:t>
      </w:r>
      <w:r w:rsidR="00251EAD" w:rsidRPr="00B83ED2">
        <w:rPr>
          <w:rFonts w:cs="Segoe UI"/>
        </w:rPr>
        <w:t xml:space="preserve"> V současnosti jsou dešťové vody ze střech sváděny do</w:t>
      </w:r>
      <w:r w:rsidR="0053013A">
        <w:rPr>
          <w:rFonts w:cs="Segoe UI"/>
        </w:rPr>
        <w:t> </w:t>
      </w:r>
      <w:r w:rsidR="00251EAD" w:rsidRPr="00B83ED2">
        <w:rPr>
          <w:rFonts w:cs="Segoe UI"/>
        </w:rPr>
        <w:t>městské kanalizace. Ve smyslu zákona č.254/2001 Sb., o vodách (vodní zákon) §5, odst. (3) budou dešťové vody likvidovány na pozemku investora.</w:t>
      </w:r>
      <w:r w:rsidR="00E879D6" w:rsidRPr="00B83ED2">
        <w:rPr>
          <w:rFonts w:cs="Segoe UI"/>
        </w:rPr>
        <w:t xml:space="preserve"> Stávající objekt je napojen na trasu plynovodu domovní přípojkou. </w:t>
      </w:r>
      <w:r w:rsidR="005A7D19" w:rsidRPr="00B83ED2">
        <w:rPr>
          <w:rFonts w:cs="Segoe UI"/>
        </w:rPr>
        <w:t>Domovní část přípojky</w:t>
      </w:r>
      <w:r w:rsidR="00A50DF6" w:rsidRPr="00B83ED2">
        <w:rPr>
          <w:rFonts w:cs="Segoe UI"/>
        </w:rPr>
        <w:t xml:space="preserve"> je vedena v zemi k objektu. Hlavní uzávěr plynu je umístěn ve </w:t>
      </w:r>
      <w:r w:rsidR="0053013A">
        <w:rPr>
          <w:rFonts w:cs="Segoe UI"/>
        </w:rPr>
        <w:t xml:space="preserve">východní </w:t>
      </w:r>
      <w:r w:rsidR="00A50DF6" w:rsidRPr="00B83ED2">
        <w:rPr>
          <w:rFonts w:cs="Segoe UI"/>
        </w:rPr>
        <w:t>fasádě domu.</w:t>
      </w:r>
      <w:r w:rsidR="00695A44" w:rsidRPr="00B83ED2">
        <w:rPr>
          <w:rFonts w:cs="Segoe UI"/>
        </w:rPr>
        <w:t xml:space="preserve"> Na fasádě stávajícího objektu je </w:t>
      </w:r>
      <w:r w:rsidR="0053013A">
        <w:rPr>
          <w:rFonts w:cs="Segoe UI"/>
        </w:rPr>
        <w:t xml:space="preserve">také </w:t>
      </w:r>
      <w:r w:rsidR="00695A44" w:rsidRPr="00B83ED2">
        <w:rPr>
          <w:rFonts w:cs="Segoe UI"/>
        </w:rPr>
        <w:t>umístěný elektroměr</w:t>
      </w:r>
      <w:r w:rsidR="0053013A">
        <w:rPr>
          <w:rFonts w:cs="Segoe UI"/>
        </w:rPr>
        <w:t>ový rozvaděč</w:t>
      </w:r>
      <w:r w:rsidR="00695A44" w:rsidRPr="00B83ED2">
        <w:rPr>
          <w:rFonts w:cs="Segoe UI"/>
        </w:rPr>
        <w:t xml:space="preserve"> a hlavní jistič.</w:t>
      </w:r>
    </w:p>
    <w:p w14:paraId="1CCC8D3D" w14:textId="0E28AB3D" w:rsidR="007E17E3" w:rsidRPr="00B83ED2" w:rsidRDefault="007E17E3" w:rsidP="009A725E">
      <w:pPr>
        <w:pStyle w:val="STNORMLN-2"/>
        <w:rPr>
          <w:rFonts w:cs="Segoe UI"/>
        </w:rPr>
      </w:pPr>
      <w:r>
        <w:rPr>
          <w:rFonts w:cs="Segoe UI"/>
        </w:rPr>
        <w:t xml:space="preserve">Na základě skutečnosti, že přípojka vody a kanalizace je technicky nevyhovující, bude realizována jejich výměna. </w:t>
      </w:r>
    </w:p>
    <w:p w14:paraId="359E5FBB" w14:textId="6731B3A5" w:rsidR="00771E22" w:rsidRDefault="00A46FC8" w:rsidP="0034343D">
      <w:pPr>
        <w:pStyle w:val="STNORMLN-2"/>
        <w:rPr>
          <w:rFonts w:cs="Segoe UI"/>
        </w:rPr>
      </w:pPr>
      <w:r w:rsidRPr="00B83ED2">
        <w:rPr>
          <w:rFonts w:cs="Segoe UI"/>
        </w:rPr>
        <w:t>Ve smyslu vyhlášky č. 398/2009 sb. musí být zajištěn</w:t>
      </w:r>
      <w:r w:rsidR="008C6E91" w:rsidRPr="00B83ED2">
        <w:rPr>
          <w:rFonts w:cs="Segoe UI"/>
        </w:rPr>
        <w:t xml:space="preserve"> bezbariérový přístup do stavby. </w:t>
      </w:r>
      <w:r w:rsidR="00B56DDB">
        <w:rPr>
          <w:rFonts w:cs="Segoe UI"/>
        </w:rPr>
        <w:t xml:space="preserve">Původní vstup na pozemek z Havlíčkovy ulice neumožňuje zajištění bezbariérového přístupu do objektu. </w:t>
      </w:r>
      <w:r w:rsidR="00B56DDB" w:rsidRPr="00904061">
        <w:rPr>
          <w:rFonts w:cs="Segoe UI"/>
        </w:rPr>
        <w:t xml:space="preserve">Přístup </w:t>
      </w:r>
      <w:r w:rsidR="00771E22" w:rsidRPr="00904061">
        <w:rPr>
          <w:rFonts w:cs="Segoe UI"/>
        </w:rPr>
        <w:t>bude</w:t>
      </w:r>
      <w:r w:rsidR="008C6E91" w:rsidRPr="00904061">
        <w:rPr>
          <w:rFonts w:cs="Segoe UI"/>
        </w:rPr>
        <w:t xml:space="preserve"> </w:t>
      </w:r>
      <w:r w:rsidR="00771E22" w:rsidRPr="00904061">
        <w:rPr>
          <w:rFonts w:cs="Segoe UI"/>
        </w:rPr>
        <w:t xml:space="preserve">zajištěn </w:t>
      </w:r>
      <w:r w:rsidR="008C6E91" w:rsidRPr="00904061">
        <w:rPr>
          <w:rFonts w:cs="Segoe UI"/>
        </w:rPr>
        <w:t>ze sousedního pozemku Centra 83</w:t>
      </w:r>
      <w:r w:rsidR="0034343D" w:rsidRPr="00904061">
        <w:rPr>
          <w:rFonts w:cs="Segoe UI"/>
        </w:rPr>
        <w:t xml:space="preserve"> na úrovni rostlého terénu</w:t>
      </w:r>
      <w:r w:rsidR="009A725E" w:rsidRPr="00904061">
        <w:rPr>
          <w:rFonts w:cs="Segoe UI"/>
        </w:rPr>
        <w:t>.</w:t>
      </w:r>
      <w:r w:rsidR="009A725E" w:rsidRPr="00B83ED2">
        <w:rPr>
          <w:rFonts w:cs="Segoe UI"/>
        </w:rPr>
        <w:t xml:space="preserve"> </w:t>
      </w:r>
      <w:r w:rsidR="008C6E91" w:rsidRPr="00B83ED2">
        <w:rPr>
          <w:rFonts w:cs="Segoe UI"/>
        </w:rPr>
        <w:t>Navržen</w:t>
      </w:r>
      <w:r w:rsidR="00A97728" w:rsidRPr="00B83ED2">
        <w:rPr>
          <w:rFonts w:cs="Segoe UI"/>
        </w:rPr>
        <w:t xml:space="preserve">é prostory v </w:t>
      </w:r>
      <w:r w:rsidR="008C6E91" w:rsidRPr="00B83ED2">
        <w:rPr>
          <w:rFonts w:cs="Segoe UI"/>
        </w:rPr>
        <w:t>přístavb</w:t>
      </w:r>
      <w:r w:rsidR="00A97728" w:rsidRPr="00B83ED2">
        <w:rPr>
          <w:rFonts w:cs="Segoe UI"/>
        </w:rPr>
        <w:t>ě</w:t>
      </w:r>
      <w:r w:rsidR="008C6E91" w:rsidRPr="00B83ED2">
        <w:rPr>
          <w:rFonts w:cs="Segoe UI"/>
        </w:rPr>
        <w:t xml:space="preserve"> </w:t>
      </w:r>
      <w:r w:rsidR="00771E22">
        <w:rPr>
          <w:rFonts w:cs="Segoe UI"/>
        </w:rPr>
        <w:t xml:space="preserve">objektu </w:t>
      </w:r>
      <w:r w:rsidR="0034343D">
        <w:rPr>
          <w:rFonts w:cs="Segoe UI"/>
        </w:rPr>
        <w:t>umožňují</w:t>
      </w:r>
      <w:r w:rsidR="00A97728" w:rsidRPr="00B83ED2">
        <w:rPr>
          <w:rFonts w:cs="Segoe UI"/>
        </w:rPr>
        <w:t xml:space="preserve"> užívání osob</w:t>
      </w:r>
      <w:r w:rsidR="00771E22">
        <w:rPr>
          <w:rFonts w:cs="Segoe UI"/>
        </w:rPr>
        <w:t>ami</w:t>
      </w:r>
      <w:r w:rsidR="00A97728" w:rsidRPr="00B83ED2">
        <w:rPr>
          <w:rFonts w:cs="Segoe UI"/>
        </w:rPr>
        <w:t xml:space="preserve"> s omezenou schopností pohybu.</w:t>
      </w:r>
    </w:p>
    <w:p w14:paraId="447890DF" w14:textId="168B9374" w:rsidR="009A725E" w:rsidRPr="00EB771A" w:rsidRDefault="009A725E" w:rsidP="00E35D91">
      <w:pPr>
        <w:pStyle w:val="STodrkyabc"/>
      </w:pPr>
      <w:bookmarkStart w:id="39" w:name="_Toc24561542"/>
      <w:bookmarkStart w:id="40" w:name="_Toc24561647"/>
      <w:r w:rsidRPr="00EB771A">
        <w:t>Věcné a časové vazby stavby, podmiňující, vyvolané a související investice.</w:t>
      </w:r>
      <w:bookmarkEnd w:id="39"/>
      <w:bookmarkEnd w:id="40"/>
    </w:p>
    <w:p w14:paraId="6DA825C3" w14:textId="3C609F2E" w:rsidR="00562463" w:rsidRDefault="00562463" w:rsidP="009A725E">
      <w:pPr>
        <w:pStyle w:val="STNORMLN-2"/>
        <w:rPr>
          <w:rFonts w:cs="Segoe UI"/>
        </w:rPr>
      </w:pPr>
      <w:bookmarkStart w:id="41" w:name="_Hlk13585738"/>
      <w:r>
        <w:rPr>
          <w:rFonts w:cs="Segoe UI"/>
        </w:rPr>
        <w:t>Předpokládaný termín realizace stavebních prací je duben až listopad 2020.</w:t>
      </w:r>
    </w:p>
    <w:bookmarkEnd w:id="41"/>
    <w:p w14:paraId="61C77722" w14:textId="1E28206F" w:rsidR="00562463" w:rsidRDefault="00562463" w:rsidP="009A725E">
      <w:pPr>
        <w:pStyle w:val="STNORMLN-2"/>
        <w:rPr>
          <w:rFonts w:cs="Segoe UI"/>
        </w:rPr>
      </w:pPr>
      <w:r>
        <w:rPr>
          <w:rFonts w:cs="Segoe UI"/>
        </w:rPr>
        <w:t>Podmiňující investice spojené se stavbou nejsou.</w:t>
      </w:r>
    </w:p>
    <w:p w14:paraId="2AE0B0AC" w14:textId="78C5BD18" w:rsidR="00E70E17" w:rsidRPr="00B83ED2" w:rsidRDefault="0024542E" w:rsidP="009A725E">
      <w:pPr>
        <w:pStyle w:val="STNORMLN-2"/>
        <w:rPr>
          <w:rFonts w:cs="Segoe UI"/>
        </w:rPr>
      </w:pPr>
      <w:r w:rsidRPr="00B83ED2">
        <w:rPr>
          <w:rFonts w:cs="Segoe UI"/>
        </w:rPr>
        <w:t xml:space="preserve">V rámci realizace sanačních </w:t>
      </w:r>
      <w:r w:rsidR="00D3345E" w:rsidRPr="00B83ED2">
        <w:rPr>
          <w:rFonts w:cs="Segoe UI"/>
        </w:rPr>
        <w:t>prací a</w:t>
      </w:r>
      <w:r w:rsidRPr="00B83ED2">
        <w:rPr>
          <w:rFonts w:cs="Segoe UI"/>
        </w:rPr>
        <w:t xml:space="preserve"> zateplení podzemní části stavby bude </w:t>
      </w:r>
      <w:r w:rsidR="00771E22">
        <w:rPr>
          <w:rFonts w:cs="Segoe UI"/>
        </w:rPr>
        <w:t xml:space="preserve">také </w:t>
      </w:r>
      <w:r w:rsidRPr="00B83ED2">
        <w:rPr>
          <w:rFonts w:cs="Segoe UI"/>
        </w:rPr>
        <w:t>nutný zásah do</w:t>
      </w:r>
      <w:r w:rsidR="00771E22">
        <w:rPr>
          <w:rFonts w:cs="Segoe UI"/>
        </w:rPr>
        <w:t> </w:t>
      </w:r>
      <w:r w:rsidRPr="00B83ED2">
        <w:rPr>
          <w:rFonts w:cs="Segoe UI"/>
        </w:rPr>
        <w:t>veřejného chodníku</w:t>
      </w:r>
      <w:r w:rsidR="00771E22">
        <w:rPr>
          <w:rFonts w:cs="Segoe UI"/>
        </w:rPr>
        <w:t xml:space="preserve">, který </w:t>
      </w:r>
      <w:r w:rsidRPr="00B83ED2">
        <w:rPr>
          <w:rFonts w:cs="Segoe UI"/>
        </w:rPr>
        <w:t xml:space="preserve">bude znamenat </w:t>
      </w:r>
      <w:r w:rsidR="00F07185">
        <w:rPr>
          <w:rFonts w:cs="Segoe UI"/>
        </w:rPr>
        <w:t xml:space="preserve">dočasné </w:t>
      </w:r>
      <w:r w:rsidRPr="00B83ED2">
        <w:rPr>
          <w:rFonts w:cs="Segoe UI"/>
        </w:rPr>
        <w:t xml:space="preserve">omezení </w:t>
      </w:r>
      <w:r w:rsidR="00F07185">
        <w:rPr>
          <w:rFonts w:cs="Segoe UI"/>
        </w:rPr>
        <w:t>užívání chodníku.</w:t>
      </w:r>
    </w:p>
    <w:p w14:paraId="4DDFE9F6" w14:textId="2807C293" w:rsidR="00F07185" w:rsidRPr="00EB771A" w:rsidRDefault="00F07185" w:rsidP="00E35D91">
      <w:pPr>
        <w:pStyle w:val="STodrkyabc"/>
      </w:pPr>
      <w:bookmarkStart w:id="42" w:name="_Toc24561543"/>
      <w:bookmarkStart w:id="43" w:name="_Toc24561648"/>
      <w:r w:rsidRPr="00EB771A">
        <w:t>Seznam pozemků podle katastru nemovitostí, na kterých se stavba umisťuje.</w:t>
      </w:r>
      <w:bookmarkEnd w:id="42"/>
      <w:bookmarkEnd w:id="43"/>
    </w:p>
    <w:p w14:paraId="5F1EEB7F" w14:textId="722A65E9" w:rsidR="00562463" w:rsidRDefault="00562463" w:rsidP="00562463">
      <w:pPr>
        <w:pStyle w:val="STNORMLN-2"/>
        <w:rPr>
          <w:rFonts w:cs="Segoe UI"/>
        </w:rPr>
      </w:pPr>
      <w:r w:rsidRPr="00B83ED2">
        <w:rPr>
          <w:rFonts w:cs="Segoe UI"/>
        </w:rPr>
        <w:t xml:space="preserve">Předmětná stavba se nachází v městské části Mladá Boleslav II. v obci Mladá Boleslav na parcele č. 1558, 496/9, dotčený je pozemek na parcele č. 1545 a 495/9. Realizace stavby vyžaduje dočasný zábor na </w:t>
      </w:r>
      <w:r w:rsidR="00F07185" w:rsidRPr="00B83ED2">
        <w:rPr>
          <w:rFonts w:cs="Segoe UI"/>
        </w:rPr>
        <w:t>č</w:t>
      </w:r>
      <w:r w:rsidR="00F07185">
        <w:rPr>
          <w:rFonts w:cs="Segoe UI"/>
        </w:rPr>
        <w:t>á</w:t>
      </w:r>
      <w:r w:rsidR="00F07185" w:rsidRPr="00B83ED2">
        <w:rPr>
          <w:rFonts w:cs="Segoe UI"/>
        </w:rPr>
        <w:t>sti pozemk</w:t>
      </w:r>
      <w:r w:rsidR="00F07185">
        <w:rPr>
          <w:rFonts w:cs="Segoe UI"/>
        </w:rPr>
        <w:t>u</w:t>
      </w:r>
      <w:r w:rsidR="00F07185" w:rsidRPr="00B83ED2">
        <w:rPr>
          <w:rFonts w:cs="Segoe UI"/>
        </w:rPr>
        <w:t xml:space="preserve"> </w:t>
      </w:r>
      <w:r w:rsidRPr="00B83ED2">
        <w:rPr>
          <w:rFonts w:cs="Segoe UI"/>
        </w:rPr>
        <w:t>na parcele č. 1269/1.</w:t>
      </w:r>
    </w:p>
    <w:p w14:paraId="71EF9A6D" w14:textId="673A7F28" w:rsidR="009A725E" w:rsidRPr="00562463" w:rsidRDefault="00562463" w:rsidP="0024542E">
      <w:pPr>
        <w:pStyle w:val="STNORMLN-2"/>
        <w:rPr>
          <w:rFonts w:cs="Segoe UI"/>
          <w:i/>
          <w:sz w:val="20"/>
          <w:szCs w:val="20"/>
        </w:rPr>
      </w:pPr>
      <w:r w:rsidRPr="00B83ED2">
        <w:rPr>
          <w:rFonts w:cs="Segoe UI"/>
          <w:i/>
          <w:sz w:val="20"/>
          <w:szCs w:val="20"/>
        </w:rPr>
        <w:t xml:space="preserve">Tabulka č. </w:t>
      </w:r>
      <w:r>
        <w:rPr>
          <w:rFonts w:cs="Segoe UI"/>
          <w:i/>
          <w:sz w:val="20"/>
          <w:szCs w:val="20"/>
        </w:rPr>
        <w:t>1</w:t>
      </w:r>
      <w:r w:rsidRPr="00B83ED2">
        <w:rPr>
          <w:rFonts w:cs="Segoe UI"/>
          <w:i/>
          <w:sz w:val="20"/>
          <w:szCs w:val="20"/>
        </w:rPr>
        <w:t xml:space="preserve"> - </w:t>
      </w:r>
      <w:r w:rsidR="009A725E" w:rsidRPr="00562463">
        <w:rPr>
          <w:rFonts w:cs="Segoe UI"/>
          <w:i/>
          <w:sz w:val="20"/>
          <w:szCs w:val="20"/>
        </w:rPr>
        <w:t>Seznam pozemků podle katastru nemovitostí, na kterých se stavba provádí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851"/>
        <w:gridCol w:w="680"/>
        <w:gridCol w:w="1624"/>
        <w:gridCol w:w="2642"/>
        <w:gridCol w:w="2513"/>
      </w:tblGrid>
      <w:tr w:rsidR="00562463" w:rsidRPr="00B83ED2" w14:paraId="404B4186" w14:textId="77777777" w:rsidTr="00026377">
        <w:trPr>
          <w:trHeight w:val="591"/>
        </w:trPr>
        <w:tc>
          <w:tcPr>
            <w:tcW w:w="757" w:type="dxa"/>
            <w:shd w:val="clear" w:color="auto" w:fill="BFBFBF" w:themeFill="background1" w:themeFillShade="BF"/>
            <w:noWrap/>
            <w:vAlign w:val="center"/>
            <w:hideMark/>
          </w:tcPr>
          <w:p w14:paraId="6CD222D0" w14:textId="77777777" w:rsidR="00562463" w:rsidRPr="00B83ED2" w:rsidRDefault="00562463" w:rsidP="00026377">
            <w:pPr>
              <w:pStyle w:val="STZHLAV"/>
              <w:rPr>
                <w:rFonts w:cs="Segoe UI"/>
              </w:rPr>
            </w:pPr>
            <w:r w:rsidRPr="00B83ED2">
              <w:rPr>
                <w:rFonts w:cs="Segoe UI"/>
              </w:rPr>
              <w:t>P.č.</w:t>
            </w:r>
          </w:p>
        </w:tc>
        <w:tc>
          <w:tcPr>
            <w:tcW w:w="851" w:type="dxa"/>
            <w:shd w:val="clear" w:color="auto" w:fill="BFBFBF" w:themeFill="background1" w:themeFillShade="BF"/>
            <w:vAlign w:val="center"/>
            <w:hideMark/>
          </w:tcPr>
          <w:p w14:paraId="548E73B5" w14:textId="77777777" w:rsidR="00562463" w:rsidRPr="00B83ED2" w:rsidRDefault="00562463" w:rsidP="00026377">
            <w:pPr>
              <w:pStyle w:val="STZHLAV"/>
              <w:rPr>
                <w:rFonts w:cs="Segoe UI"/>
              </w:rPr>
            </w:pPr>
            <w:r w:rsidRPr="00B83ED2">
              <w:rPr>
                <w:rFonts w:cs="Segoe UI"/>
              </w:rPr>
              <w:t>Výměra v m</w:t>
            </w:r>
            <w:r w:rsidRPr="00B83ED2">
              <w:rPr>
                <w:rFonts w:cs="Segoe UI"/>
                <w:vertAlign w:val="superscript"/>
              </w:rPr>
              <w:t>2</w:t>
            </w:r>
          </w:p>
        </w:tc>
        <w:tc>
          <w:tcPr>
            <w:tcW w:w="680" w:type="dxa"/>
            <w:shd w:val="clear" w:color="auto" w:fill="BFBFBF" w:themeFill="background1" w:themeFillShade="BF"/>
          </w:tcPr>
          <w:p w14:paraId="77F9C130" w14:textId="77777777" w:rsidR="00562463" w:rsidRPr="00B83ED2" w:rsidRDefault="00562463" w:rsidP="00026377">
            <w:pPr>
              <w:pStyle w:val="STZHLAV"/>
              <w:jc w:val="left"/>
              <w:rPr>
                <w:rFonts w:cs="Segoe UI"/>
              </w:rPr>
            </w:pPr>
            <w:r w:rsidRPr="00B83ED2">
              <w:rPr>
                <w:rFonts w:cs="Segoe UI"/>
              </w:rPr>
              <w:t>Číslo LV</w:t>
            </w:r>
          </w:p>
        </w:tc>
        <w:tc>
          <w:tcPr>
            <w:tcW w:w="1624" w:type="dxa"/>
            <w:shd w:val="clear" w:color="auto" w:fill="BFBFBF" w:themeFill="background1" w:themeFillShade="BF"/>
            <w:vAlign w:val="center"/>
          </w:tcPr>
          <w:p w14:paraId="437557DB" w14:textId="77777777" w:rsidR="00562463" w:rsidRPr="00B83ED2" w:rsidRDefault="00562463" w:rsidP="00026377">
            <w:pPr>
              <w:pStyle w:val="STZHLAV"/>
              <w:jc w:val="left"/>
              <w:rPr>
                <w:rFonts w:cs="Segoe UI"/>
              </w:rPr>
            </w:pPr>
            <w:r w:rsidRPr="00B83ED2">
              <w:rPr>
                <w:rFonts w:cs="Segoe UI"/>
              </w:rPr>
              <w:t>Způsob využití</w:t>
            </w:r>
          </w:p>
        </w:tc>
        <w:tc>
          <w:tcPr>
            <w:tcW w:w="2642" w:type="dxa"/>
            <w:shd w:val="clear" w:color="auto" w:fill="BFBFBF" w:themeFill="background1" w:themeFillShade="BF"/>
            <w:vAlign w:val="center"/>
          </w:tcPr>
          <w:p w14:paraId="07B84B7F" w14:textId="77777777" w:rsidR="00562463" w:rsidRPr="00B83ED2" w:rsidRDefault="00562463" w:rsidP="00026377">
            <w:pPr>
              <w:pStyle w:val="STZHLAV"/>
              <w:jc w:val="left"/>
              <w:rPr>
                <w:rFonts w:cs="Segoe UI"/>
              </w:rPr>
            </w:pPr>
            <w:r w:rsidRPr="00B83ED2">
              <w:rPr>
                <w:rFonts w:cs="Segoe UI"/>
              </w:rPr>
              <w:t>Druh pozemku</w:t>
            </w:r>
          </w:p>
        </w:tc>
        <w:tc>
          <w:tcPr>
            <w:tcW w:w="2513" w:type="dxa"/>
            <w:shd w:val="clear" w:color="auto" w:fill="BFBFBF" w:themeFill="background1" w:themeFillShade="BF"/>
            <w:vAlign w:val="center"/>
          </w:tcPr>
          <w:p w14:paraId="4434FFEF" w14:textId="77777777" w:rsidR="00562463" w:rsidRPr="00B83ED2" w:rsidRDefault="00562463" w:rsidP="00026377">
            <w:pPr>
              <w:pStyle w:val="STZHLAV"/>
              <w:jc w:val="left"/>
              <w:rPr>
                <w:rFonts w:cs="Segoe UI"/>
              </w:rPr>
            </w:pPr>
            <w:r w:rsidRPr="00B83ED2">
              <w:rPr>
                <w:rFonts w:cs="Segoe UI"/>
              </w:rPr>
              <w:t>Vlastník</w:t>
            </w:r>
          </w:p>
        </w:tc>
      </w:tr>
      <w:tr w:rsidR="00562463" w:rsidRPr="00B83ED2" w14:paraId="4CE5D31D" w14:textId="77777777" w:rsidTr="00904061">
        <w:trPr>
          <w:trHeight w:val="515"/>
        </w:trPr>
        <w:tc>
          <w:tcPr>
            <w:tcW w:w="757" w:type="dxa"/>
            <w:shd w:val="clear" w:color="auto" w:fill="auto"/>
            <w:noWrap/>
            <w:vAlign w:val="center"/>
            <w:hideMark/>
          </w:tcPr>
          <w:p w14:paraId="221D9962" w14:textId="77777777" w:rsidR="00562463" w:rsidRPr="00B83ED2" w:rsidRDefault="00562463" w:rsidP="00F07185">
            <w:pPr>
              <w:pStyle w:val="STTABULKY"/>
              <w:rPr>
                <w:rFonts w:cs="Segoe UI"/>
              </w:rPr>
            </w:pPr>
            <w:r w:rsidRPr="00B83ED2">
              <w:rPr>
                <w:rFonts w:cs="Segoe UI"/>
              </w:rPr>
              <w:t>1558</w:t>
            </w:r>
          </w:p>
        </w:tc>
        <w:tc>
          <w:tcPr>
            <w:tcW w:w="851" w:type="dxa"/>
            <w:shd w:val="clear" w:color="auto" w:fill="auto"/>
            <w:noWrap/>
            <w:vAlign w:val="center"/>
            <w:hideMark/>
          </w:tcPr>
          <w:p w14:paraId="64920710" w14:textId="77777777" w:rsidR="00562463" w:rsidRPr="00B83ED2" w:rsidRDefault="00562463" w:rsidP="00F07185">
            <w:pPr>
              <w:pStyle w:val="STTABULKY"/>
              <w:jc w:val="right"/>
              <w:rPr>
                <w:rFonts w:cs="Segoe UI"/>
              </w:rPr>
            </w:pPr>
            <w:r w:rsidRPr="00B83ED2">
              <w:rPr>
                <w:rFonts w:cs="Segoe UI"/>
              </w:rPr>
              <w:t>259</w:t>
            </w:r>
          </w:p>
        </w:tc>
        <w:tc>
          <w:tcPr>
            <w:tcW w:w="680" w:type="dxa"/>
            <w:shd w:val="clear" w:color="auto" w:fill="auto"/>
            <w:vAlign w:val="center"/>
          </w:tcPr>
          <w:p w14:paraId="5125CF12" w14:textId="3EBD31FD" w:rsidR="00562463" w:rsidRPr="00B83ED2" w:rsidRDefault="00997F1C" w:rsidP="00F07185">
            <w:pPr>
              <w:pStyle w:val="STTABULKY"/>
              <w:jc w:val="center"/>
              <w:rPr>
                <w:rFonts w:cs="Segoe UI"/>
              </w:rPr>
            </w:pPr>
            <w:r>
              <w:rPr>
                <w:rFonts w:cs="Segoe UI"/>
                <w:color w:val="auto"/>
              </w:rPr>
              <w:t>18836</w:t>
            </w:r>
          </w:p>
        </w:tc>
        <w:tc>
          <w:tcPr>
            <w:tcW w:w="1624" w:type="dxa"/>
            <w:shd w:val="clear" w:color="auto" w:fill="auto"/>
            <w:vAlign w:val="center"/>
          </w:tcPr>
          <w:p w14:paraId="3285D2B6" w14:textId="77777777" w:rsidR="00562463" w:rsidRPr="00B83ED2" w:rsidRDefault="00562463" w:rsidP="00026377">
            <w:pPr>
              <w:pStyle w:val="STTABULKY"/>
              <w:rPr>
                <w:rFonts w:cs="Segoe UI"/>
              </w:rPr>
            </w:pPr>
          </w:p>
        </w:tc>
        <w:tc>
          <w:tcPr>
            <w:tcW w:w="2642" w:type="dxa"/>
            <w:shd w:val="clear" w:color="auto" w:fill="auto"/>
            <w:vAlign w:val="center"/>
          </w:tcPr>
          <w:p w14:paraId="52F15C8B" w14:textId="77777777" w:rsidR="00562463" w:rsidRPr="00B83ED2" w:rsidRDefault="00562463" w:rsidP="00026377">
            <w:pPr>
              <w:pStyle w:val="STTABULKY"/>
              <w:rPr>
                <w:rFonts w:cs="Segoe UI"/>
              </w:rPr>
            </w:pPr>
            <w:r w:rsidRPr="00B83ED2">
              <w:rPr>
                <w:rFonts w:cs="Segoe UI"/>
              </w:rPr>
              <w:t>zastavěná plocha a nádvoří</w:t>
            </w:r>
          </w:p>
        </w:tc>
        <w:tc>
          <w:tcPr>
            <w:tcW w:w="2513" w:type="dxa"/>
            <w:vMerge w:val="restart"/>
            <w:shd w:val="clear" w:color="auto" w:fill="auto"/>
            <w:vAlign w:val="center"/>
          </w:tcPr>
          <w:p w14:paraId="481E4910" w14:textId="25878416" w:rsidR="00562463" w:rsidRPr="00B83ED2" w:rsidRDefault="00562463" w:rsidP="00F07185">
            <w:pPr>
              <w:pStyle w:val="STTABULKY"/>
              <w:rPr>
                <w:rFonts w:cs="Segoe UI"/>
              </w:rPr>
            </w:pPr>
            <w:r w:rsidRPr="00B83ED2">
              <w:rPr>
                <w:rFonts w:cs="Segoe UI"/>
                <w:color w:val="000000"/>
                <w:szCs w:val="20"/>
                <w:shd w:val="clear" w:color="auto" w:fill="FEFEFE"/>
              </w:rPr>
              <w:t xml:space="preserve">Středočeský </w:t>
            </w:r>
            <w:r w:rsidR="00656790">
              <w:rPr>
                <w:rFonts w:cs="Segoe UI"/>
                <w:color w:val="000000"/>
                <w:szCs w:val="20"/>
                <w:shd w:val="clear" w:color="auto" w:fill="FEFEFE"/>
              </w:rPr>
              <w:t>K</w:t>
            </w:r>
            <w:r w:rsidR="00656790" w:rsidRPr="00B83ED2">
              <w:rPr>
                <w:rFonts w:cs="Segoe UI"/>
                <w:color w:val="000000"/>
                <w:szCs w:val="20"/>
                <w:shd w:val="clear" w:color="auto" w:fill="FEFEFE"/>
              </w:rPr>
              <w:t>raj</w:t>
            </w:r>
          </w:p>
        </w:tc>
      </w:tr>
      <w:tr w:rsidR="00562463" w:rsidRPr="00B83ED2" w14:paraId="3D16868B" w14:textId="77777777" w:rsidTr="00904061">
        <w:trPr>
          <w:trHeight w:val="411"/>
        </w:trPr>
        <w:tc>
          <w:tcPr>
            <w:tcW w:w="757" w:type="dxa"/>
            <w:shd w:val="clear" w:color="auto" w:fill="auto"/>
            <w:noWrap/>
            <w:vAlign w:val="center"/>
          </w:tcPr>
          <w:p w14:paraId="27E0D362" w14:textId="77777777" w:rsidR="00562463" w:rsidRPr="00B83ED2" w:rsidRDefault="00562463" w:rsidP="00F07185">
            <w:pPr>
              <w:pStyle w:val="STTABULKY"/>
              <w:rPr>
                <w:rFonts w:cs="Segoe UI"/>
              </w:rPr>
            </w:pPr>
            <w:r w:rsidRPr="00B83ED2">
              <w:rPr>
                <w:rFonts w:cs="Segoe UI"/>
              </w:rPr>
              <w:t>496/9</w:t>
            </w:r>
          </w:p>
        </w:tc>
        <w:tc>
          <w:tcPr>
            <w:tcW w:w="851" w:type="dxa"/>
            <w:shd w:val="clear" w:color="auto" w:fill="auto"/>
            <w:noWrap/>
            <w:vAlign w:val="center"/>
          </w:tcPr>
          <w:p w14:paraId="771A13E4" w14:textId="77777777" w:rsidR="00562463" w:rsidRPr="00B83ED2" w:rsidRDefault="00562463" w:rsidP="00F07185">
            <w:pPr>
              <w:pStyle w:val="STTABULKY"/>
              <w:jc w:val="right"/>
              <w:rPr>
                <w:rFonts w:cs="Segoe UI"/>
              </w:rPr>
            </w:pPr>
            <w:r w:rsidRPr="00B83ED2">
              <w:rPr>
                <w:rFonts w:cs="Segoe UI"/>
              </w:rPr>
              <w:t>358</w:t>
            </w:r>
          </w:p>
        </w:tc>
        <w:tc>
          <w:tcPr>
            <w:tcW w:w="680" w:type="dxa"/>
            <w:shd w:val="clear" w:color="auto" w:fill="auto"/>
            <w:vAlign w:val="center"/>
          </w:tcPr>
          <w:p w14:paraId="3E7A01FF" w14:textId="5AE2FFAE" w:rsidR="00562463" w:rsidRPr="00B83ED2" w:rsidRDefault="00997F1C" w:rsidP="00F07185">
            <w:pPr>
              <w:pStyle w:val="STTABULKY"/>
              <w:jc w:val="center"/>
              <w:rPr>
                <w:rFonts w:cs="Segoe UI"/>
              </w:rPr>
            </w:pPr>
            <w:r>
              <w:rPr>
                <w:rFonts w:cs="Segoe UI"/>
                <w:color w:val="auto"/>
              </w:rPr>
              <w:t>18836</w:t>
            </w:r>
          </w:p>
        </w:tc>
        <w:tc>
          <w:tcPr>
            <w:tcW w:w="1624" w:type="dxa"/>
            <w:shd w:val="clear" w:color="auto" w:fill="auto"/>
            <w:vAlign w:val="center"/>
          </w:tcPr>
          <w:p w14:paraId="69AB6A54" w14:textId="77777777" w:rsidR="00562463" w:rsidRPr="00B83ED2" w:rsidRDefault="00562463" w:rsidP="00026377">
            <w:pPr>
              <w:pStyle w:val="STTABULKY"/>
              <w:rPr>
                <w:rFonts w:cs="Segoe UI"/>
              </w:rPr>
            </w:pPr>
          </w:p>
        </w:tc>
        <w:tc>
          <w:tcPr>
            <w:tcW w:w="2642" w:type="dxa"/>
            <w:shd w:val="clear" w:color="auto" w:fill="auto"/>
            <w:vAlign w:val="center"/>
          </w:tcPr>
          <w:p w14:paraId="701AF86C" w14:textId="77777777" w:rsidR="00562463" w:rsidRPr="00B83ED2" w:rsidRDefault="00562463" w:rsidP="00026377">
            <w:pPr>
              <w:pStyle w:val="STTABULKY"/>
              <w:rPr>
                <w:rFonts w:cs="Segoe UI"/>
              </w:rPr>
            </w:pPr>
            <w:r w:rsidRPr="00B83ED2">
              <w:rPr>
                <w:rFonts w:cs="Segoe UI"/>
              </w:rPr>
              <w:t>zahrada</w:t>
            </w:r>
          </w:p>
        </w:tc>
        <w:tc>
          <w:tcPr>
            <w:tcW w:w="2513" w:type="dxa"/>
            <w:vMerge/>
            <w:shd w:val="clear" w:color="auto" w:fill="auto"/>
            <w:vAlign w:val="center"/>
          </w:tcPr>
          <w:p w14:paraId="55B93441" w14:textId="77777777" w:rsidR="00562463" w:rsidRPr="00B83ED2" w:rsidRDefault="00562463" w:rsidP="00026377">
            <w:pPr>
              <w:pStyle w:val="STTABULKY"/>
              <w:rPr>
                <w:rFonts w:cs="Segoe UI"/>
              </w:rPr>
            </w:pPr>
          </w:p>
        </w:tc>
      </w:tr>
    </w:tbl>
    <w:p w14:paraId="43E7CD5B" w14:textId="77777777" w:rsidR="004F1371" w:rsidRPr="00B83ED2" w:rsidRDefault="004F1371" w:rsidP="0024542E">
      <w:pPr>
        <w:pStyle w:val="STNORMLN-2"/>
        <w:rPr>
          <w:rFonts w:cs="Segoe UI"/>
        </w:rPr>
      </w:pPr>
    </w:p>
    <w:p w14:paraId="7FCC98FF" w14:textId="51779F2F" w:rsidR="00224121" w:rsidRPr="00B83ED2" w:rsidRDefault="00490C89" w:rsidP="00224121">
      <w:pPr>
        <w:pStyle w:val="STNORMLN-2"/>
        <w:rPr>
          <w:rFonts w:cs="Segoe UI"/>
          <w:i/>
          <w:sz w:val="20"/>
          <w:szCs w:val="20"/>
        </w:rPr>
      </w:pPr>
      <w:bookmarkStart w:id="44" w:name="_Hlk14690142"/>
      <w:r w:rsidRPr="00B83ED2">
        <w:rPr>
          <w:rFonts w:cs="Segoe UI"/>
          <w:i/>
          <w:sz w:val="20"/>
          <w:szCs w:val="20"/>
        </w:rPr>
        <w:t xml:space="preserve">Tabulka č. </w:t>
      </w:r>
      <w:r w:rsidR="00562463">
        <w:rPr>
          <w:rFonts w:cs="Segoe UI"/>
          <w:i/>
          <w:sz w:val="20"/>
          <w:szCs w:val="20"/>
        </w:rPr>
        <w:t>2</w:t>
      </w:r>
      <w:r w:rsidRPr="00B83ED2">
        <w:rPr>
          <w:rFonts w:cs="Segoe UI"/>
          <w:i/>
          <w:sz w:val="20"/>
          <w:szCs w:val="20"/>
        </w:rPr>
        <w:t xml:space="preserve"> - </w:t>
      </w:r>
      <w:r w:rsidR="00224121" w:rsidRPr="00B83ED2">
        <w:rPr>
          <w:rFonts w:cs="Segoe UI"/>
          <w:i/>
          <w:sz w:val="20"/>
          <w:szCs w:val="20"/>
        </w:rPr>
        <w:t xml:space="preserve">Seznam </w:t>
      </w:r>
      <w:r w:rsidR="00B612F5">
        <w:rPr>
          <w:rFonts w:cs="Segoe UI"/>
          <w:i/>
          <w:sz w:val="20"/>
          <w:szCs w:val="20"/>
        </w:rPr>
        <w:t>sousedních</w:t>
      </w:r>
      <w:r w:rsidR="00B612F5" w:rsidRPr="00B83ED2">
        <w:rPr>
          <w:rFonts w:cs="Segoe UI"/>
          <w:i/>
          <w:sz w:val="20"/>
          <w:szCs w:val="20"/>
        </w:rPr>
        <w:t xml:space="preserve"> </w:t>
      </w:r>
      <w:r w:rsidR="00B260A6" w:rsidRPr="00B83ED2">
        <w:rPr>
          <w:rFonts w:cs="Segoe UI"/>
          <w:i/>
          <w:sz w:val="20"/>
          <w:szCs w:val="20"/>
        </w:rPr>
        <w:t>pozemků</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851"/>
        <w:gridCol w:w="680"/>
        <w:gridCol w:w="1624"/>
        <w:gridCol w:w="2642"/>
        <w:gridCol w:w="2513"/>
      </w:tblGrid>
      <w:tr w:rsidR="00F70903" w:rsidRPr="00B83ED2" w14:paraId="4DE9D1DF" w14:textId="460169BD" w:rsidTr="00C716E4">
        <w:trPr>
          <w:trHeight w:val="591"/>
        </w:trPr>
        <w:tc>
          <w:tcPr>
            <w:tcW w:w="757" w:type="dxa"/>
            <w:shd w:val="clear" w:color="auto" w:fill="BFBFBF" w:themeFill="background1" w:themeFillShade="BF"/>
            <w:noWrap/>
            <w:vAlign w:val="center"/>
            <w:hideMark/>
          </w:tcPr>
          <w:bookmarkEnd w:id="44"/>
          <w:p w14:paraId="681AE941" w14:textId="6CFA4D2E" w:rsidR="009F6E5E" w:rsidRPr="00B83ED2" w:rsidRDefault="009F6E5E" w:rsidP="00814832">
            <w:pPr>
              <w:pStyle w:val="STZHLAV"/>
              <w:rPr>
                <w:rFonts w:cs="Segoe UI"/>
              </w:rPr>
            </w:pPr>
            <w:r w:rsidRPr="00B83ED2">
              <w:rPr>
                <w:rFonts w:cs="Segoe UI"/>
              </w:rPr>
              <w:t>P.č.</w:t>
            </w:r>
          </w:p>
        </w:tc>
        <w:tc>
          <w:tcPr>
            <w:tcW w:w="851" w:type="dxa"/>
            <w:shd w:val="clear" w:color="auto" w:fill="BFBFBF" w:themeFill="background1" w:themeFillShade="BF"/>
            <w:vAlign w:val="center"/>
            <w:hideMark/>
          </w:tcPr>
          <w:p w14:paraId="6B73619D" w14:textId="69FB89E9" w:rsidR="009F6E5E" w:rsidRPr="00B83ED2" w:rsidRDefault="009F6E5E" w:rsidP="00814832">
            <w:pPr>
              <w:pStyle w:val="STZHLAV"/>
              <w:rPr>
                <w:rFonts w:cs="Segoe UI"/>
              </w:rPr>
            </w:pPr>
            <w:r w:rsidRPr="00B83ED2">
              <w:rPr>
                <w:rFonts w:cs="Segoe UI"/>
              </w:rPr>
              <w:t>Výměra v m</w:t>
            </w:r>
            <w:r w:rsidRPr="00B83ED2">
              <w:rPr>
                <w:rFonts w:cs="Segoe UI"/>
                <w:vertAlign w:val="superscript"/>
              </w:rPr>
              <w:t>2</w:t>
            </w:r>
          </w:p>
        </w:tc>
        <w:tc>
          <w:tcPr>
            <w:tcW w:w="680" w:type="dxa"/>
            <w:shd w:val="clear" w:color="auto" w:fill="BFBFBF" w:themeFill="background1" w:themeFillShade="BF"/>
          </w:tcPr>
          <w:p w14:paraId="73713E54" w14:textId="7F91D105" w:rsidR="009F6E5E" w:rsidRPr="00B83ED2" w:rsidRDefault="009F6E5E" w:rsidP="009F6E5E">
            <w:pPr>
              <w:pStyle w:val="STZHLAV"/>
              <w:jc w:val="left"/>
              <w:rPr>
                <w:rFonts w:cs="Segoe UI"/>
              </w:rPr>
            </w:pPr>
            <w:r w:rsidRPr="00B83ED2">
              <w:rPr>
                <w:rFonts w:cs="Segoe UI"/>
              </w:rPr>
              <w:t>Číslo LV</w:t>
            </w:r>
          </w:p>
        </w:tc>
        <w:tc>
          <w:tcPr>
            <w:tcW w:w="1624" w:type="dxa"/>
            <w:shd w:val="clear" w:color="auto" w:fill="BFBFBF" w:themeFill="background1" w:themeFillShade="BF"/>
            <w:vAlign w:val="center"/>
          </w:tcPr>
          <w:p w14:paraId="7045C05E" w14:textId="10359A68" w:rsidR="009F6E5E" w:rsidRPr="00B83ED2" w:rsidRDefault="009F6E5E" w:rsidP="009F6E5E">
            <w:pPr>
              <w:pStyle w:val="STZHLAV"/>
              <w:jc w:val="left"/>
              <w:rPr>
                <w:rFonts w:cs="Segoe UI"/>
              </w:rPr>
            </w:pPr>
            <w:r w:rsidRPr="00B83ED2">
              <w:rPr>
                <w:rFonts w:cs="Segoe UI"/>
              </w:rPr>
              <w:t>Způsob využití</w:t>
            </w:r>
          </w:p>
        </w:tc>
        <w:tc>
          <w:tcPr>
            <w:tcW w:w="2642" w:type="dxa"/>
            <w:shd w:val="clear" w:color="auto" w:fill="BFBFBF" w:themeFill="background1" w:themeFillShade="BF"/>
            <w:vAlign w:val="center"/>
          </w:tcPr>
          <w:p w14:paraId="20BC0E64" w14:textId="4A0491A3" w:rsidR="009F6E5E" w:rsidRPr="00B83ED2" w:rsidRDefault="009F6E5E" w:rsidP="009F6E5E">
            <w:pPr>
              <w:pStyle w:val="STZHLAV"/>
              <w:jc w:val="left"/>
              <w:rPr>
                <w:rFonts w:cs="Segoe UI"/>
              </w:rPr>
            </w:pPr>
            <w:r w:rsidRPr="00B83ED2">
              <w:rPr>
                <w:rFonts w:cs="Segoe UI"/>
              </w:rPr>
              <w:t>Druh pozemku</w:t>
            </w:r>
          </w:p>
        </w:tc>
        <w:tc>
          <w:tcPr>
            <w:tcW w:w="2513" w:type="dxa"/>
            <w:shd w:val="clear" w:color="auto" w:fill="BFBFBF" w:themeFill="background1" w:themeFillShade="BF"/>
            <w:vAlign w:val="center"/>
          </w:tcPr>
          <w:p w14:paraId="3F424716" w14:textId="213B6AD9" w:rsidR="009F6E5E" w:rsidRPr="00B83ED2" w:rsidRDefault="009F6E5E" w:rsidP="009F6E5E">
            <w:pPr>
              <w:pStyle w:val="STZHLAV"/>
              <w:jc w:val="left"/>
              <w:rPr>
                <w:rFonts w:cs="Segoe UI"/>
              </w:rPr>
            </w:pPr>
            <w:r w:rsidRPr="00B83ED2">
              <w:rPr>
                <w:rFonts w:cs="Segoe UI"/>
              </w:rPr>
              <w:t>Vlastník</w:t>
            </w:r>
          </w:p>
        </w:tc>
      </w:tr>
      <w:tr w:rsidR="00864BDA" w:rsidRPr="00B83ED2" w14:paraId="5C0EB2DF" w14:textId="77777777" w:rsidTr="009C6631">
        <w:trPr>
          <w:trHeight w:val="465"/>
        </w:trPr>
        <w:tc>
          <w:tcPr>
            <w:tcW w:w="757" w:type="dxa"/>
            <w:shd w:val="clear" w:color="auto" w:fill="auto"/>
            <w:noWrap/>
            <w:vAlign w:val="center"/>
          </w:tcPr>
          <w:p w14:paraId="662D6680" w14:textId="2D0E15D5" w:rsidR="00864BDA" w:rsidRPr="00B83ED2" w:rsidRDefault="00864BDA" w:rsidP="00864BDA">
            <w:pPr>
              <w:pStyle w:val="STTABULKY"/>
              <w:rPr>
                <w:rFonts w:cs="Segoe UI"/>
              </w:rPr>
            </w:pPr>
            <w:r w:rsidRPr="00B83ED2">
              <w:rPr>
                <w:rFonts w:cs="Segoe UI"/>
              </w:rPr>
              <w:t>1545</w:t>
            </w:r>
          </w:p>
        </w:tc>
        <w:tc>
          <w:tcPr>
            <w:tcW w:w="851" w:type="dxa"/>
            <w:shd w:val="clear" w:color="auto" w:fill="auto"/>
            <w:noWrap/>
            <w:vAlign w:val="center"/>
          </w:tcPr>
          <w:p w14:paraId="76C226D2" w14:textId="53C70C37" w:rsidR="00864BDA" w:rsidRPr="00B83ED2" w:rsidRDefault="00864BDA" w:rsidP="00864BDA">
            <w:pPr>
              <w:pStyle w:val="STTABULKY"/>
              <w:jc w:val="right"/>
              <w:rPr>
                <w:rFonts w:cs="Segoe UI"/>
              </w:rPr>
            </w:pPr>
            <w:r w:rsidRPr="00B83ED2">
              <w:rPr>
                <w:rFonts w:cs="Segoe UI"/>
              </w:rPr>
              <w:t>1690</w:t>
            </w:r>
          </w:p>
        </w:tc>
        <w:tc>
          <w:tcPr>
            <w:tcW w:w="680" w:type="dxa"/>
            <w:shd w:val="clear" w:color="auto" w:fill="auto"/>
            <w:vAlign w:val="center"/>
          </w:tcPr>
          <w:p w14:paraId="11583CD4" w14:textId="5F9F26F4" w:rsidR="00864BDA" w:rsidRPr="00B83ED2" w:rsidRDefault="00864BDA" w:rsidP="00864BDA">
            <w:pPr>
              <w:pStyle w:val="STTABULKY"/>
              <w:jc w:val="center"/>
              <w:rPr>
                <w:rFonts w:cs="Segoe UI"/>
              </w:rPr>
            </w:pPr>
            <w:r w:rsidRPr="00B83ED2">
              <w:rPr>
                <w:rFonts w:cs="Segoe UI"/>
              </w:rPr>
              <w:t>3799</w:t>
            </w:r>
          </w:p>
        </w:tc>
        <w:tc>
          <w:tcPr>
            <w:tcW w:w="1624" w:type="dxa"/>
            <w:shd w:val="clear" w:color="auto" w:fill="auto"/>
            <w:vAlign w:val="center"/>
          </w:tcPr>
          <w:p w14:paraId="01225248" w14:textId="77777777" w:rsidR="00864BDA" w:rsidRPr="00B83ED2" w:rsidRDefault="00864BDA" w:rsidP="00864BDA">
            <w:pPr>
              <w:pStyle w:val="STTABULKY"/>
              <w:rPr>
                <w:rFonts w:cs="Segoe UI"/>
              </w:rPr>
            </w:pPr>
          </w:p>
        </w:tc>
        <w:tc>
          <w:tcPr>
            <w:tcW w:w="2642" w:type="dxa"/>
            <w:shd w:val="clear" w:color="auto" w:fill="auto"/>
            <w:vAlign w:val="center"/>
          </w:tcPr>
          <w:p w14:paraId="1CBB4FA7" w14:textId="2F735708" w:rsidR="00864BDA" w:rsidRPr="00B83ED2" w:rsidRDefault="00864BDA" w:rsidP="00864BDA">
            <w:pPr>
              <w:pStyle w:val="STTABULKY"/>
              <w:rPr>
                <w:rFonts w:cs="Segoe UI"/>
              </w:rPr>
            </w:pPr>
            <w:r w:rsidRPr="00B83ED2">
              <w:rPr>
                <w:rFonts w:cs="Segoe UI"/>
              </w:rPr>
              <w:t>zastavěná plocha a nádvoří</w:t>
            </w:r>
          </w:p>
        </w:tc>
        <w:tc>
          <w:tcPr>
            <w:tcW w:w="2513" w:type="dxa"/>
            <w:vMerge w:val="restart"/>
            <w:shd w:val="clear" w:color="auto" w:fill="auto"/>
            <w:vAlign w:val="center"/>
          </w:tcPr>
          <w:p w14:paraId="0BDB59BD" w14:textId="38F2F4B8" w:rsidR="00864BDA" w:rsidRPr="00B83ED2" w:rsidRDefault="00864BDA" w:rsidP="00864BDA">
            <w:pPr>
              <w:pStyle w:val="STTABULKY"/>
              <w:rPr>
                <w:rFonts w:cs="Segoe UI"/>
              </w:rPr>
            </w:pPr>
            <w:r w:rsidRPr="00B83ED2">
              <w:rPr>
                <w:rFonts w:cs="Segoe UI"/>
                <w:color w:val="000000"/>
                <w:szCs w:val="20"/>
                <w:shd w:val="clear" w:color="auto" w:fill="FEFEFE"/>
              </w:rPr>
              <w:t xml:space="preserve">Středočeský </w:t>
            </w:r>
            <w:r w:rsidR="00656790">
              <w:rPr>
                <w:rFonts w:cs="Segoe UI"/>
                <w:color w:val="000000"/>
                <w:szCs w:val="20"/>
                <w:shd w:val="clear" w:color="auto" w:fill="FEFEFE"/>
              </w:rPr>
              <w:t>K</w:t>
            </w:r>
            <w:r w:rsidRPr="00B83ED2">
              <w:rPr>
                <w:rFonts w:cs="Segoe UI"/>
                <w:color w:val="000000"/>
                <w:szCs w:val="20"/>
                <w:shd w:val="clear" w:color="auto" w:fill="FEFEFE"/>
              </w:rPr>
              <w:t>raj</w:t>
            </w:r>
            <w:r w:rsidRPr="00B83ED2">
              <w:rPr>
                <w:rFonts w:cs="Segoe UI"/>
              </w:rPr>
              <w:t xml:space="preserve"> </w:t>
            </w:r>
          </w:p>
          <w:p w14:paraId="790E5789" w14:textId="77777777" w:rsidR="00864BDA" w:rsidRPr="00B83ED2" w:rsidRDefault="00864BDA" w:rsidP="00864BDA">
            <w:pPr>
              <w:pStyle w:val="STTABULKY"/>
              <w:rPr>
                <w:rFonts w:cs="Segoe UI"/>
              </w:rPr>
            </w:pPr>
          </w:p>
          <w:p w14:paraId="36412598" w14:textId="77777777" w:rsidR="00864BDA" w:rsidRPr="00B83ED2" w:rsidRDefault="00864BDA" w:rsidP="00864BDA">
            <w:pPr>
              <w:pStyle w:val="STTABULKY"/>
              <w:rPr>
                <w:rFonts w:cs="Segoe UI"/>
              </w:rPr>
            </w:pPr>
            <w:r w:rsidRPr="00B83ED2">
              <w:rPr>
                <w:rFonts w:cs="Segoe UI"/>
              </w:rPr>
              <w:t>Příslušnost hospodařit s majetkem kraje:</w:t>
            </w:r>
          </w:p>
          <w:tbl>
            <w:tblPr>
              <w:tblW w:w="0" w:type="auto"/>
              <w:tblCellSpacing w:w="0" w:type="dxa"/>
              <w:tblCellMar>
                <w:top w:w="15" w:type="dxa"/>
                <w:left w:w="15" w:type="dxa"/>
                <w:bottom w:w="15" w:type="dxa"/>
                <w:right w:w="15" w:type="dxa"/>
              </w:tblCellMar>
              <w:tblLook w:val="04A0" w:firstRow="1" w:lastRow="0" w:firstColumn="1" w:lastColumn="0" w:noHBand="0" w:noVBand="1"/>
              <w:tblDescription w:val="Vlastníci, jiní oprávnění"/>
            </w:tblPr>
            <w:tblGrid>
              <w:gridCol w:w="2337"/>
              <w:gridCol w:w="36"/>
            </w:tblGrid>
            <w:tr w:rsidR="00864BDA" w:rsidRPr="00B83ED2" w14:paraId="42CFDD0B" w14:textId="77777777" w:rsidTr="00026377">
              <w:trPr>
                <w:tblCellSpacing w:w="0" w:type="dxa"/>
              </w:trPr>
              <w:tc>
                <w:tcPr>
                  <w:tcW w:w="0" w:type="auto"/>
                  <w:vAlign w:val="center"/>
                  <w:hideMark/>
                </w:tcPr>
                <w:p w14:paraId="7C4C17C0" w14:textId="77777777" w:rsidR="00864BDA" w:rsidRPr="00B83ED2" w:rsidRDefault="00864BDA" w:rsidP="00864BDA">
                  <w:pPr>
                    <w:jc w:val="left"/>
                    <w:rPr>
                      <w:rFonts w:ascii="Segoe UI" w:hAnsi="Segoe UI" w:cs="Segoe UI"/>
                      <w:color w:val="000000"/>
                      <w:sz w:val="20"/>
                      <w:szCs w:val="20"/>
                    </w:rPr>
                  </w:pPr>
                  <w:r w:rsidRPr="00B83ED2">
                    <w:rPr>
                      <w:rFonts w:ascii="Segoe UI" w:hAnsi="Segoe UI" w:cs="Segoe UI"/>
                      <w:color w:val="000000"/>
                      <w:sz w:val="20"/>
                      <w:szCs w:val="20"/>
                    </w:rPr>
                    <w:t>Centrum 83, poskytovatel sociálních služeb</w:t>
                  </w:r>
                </w:p>
                <w:p w14:paraId="0E38114C" w14:textId="77777777" w:rsidR="00864BDA" w:rsidRPr="00B83ED2" w:rsidRDefault="00864BDA" w:rsidP="00864BDA">
                  <w:pPr>
                    <w:pStyle w:val="STTABULKY"/>
                    <w:rPr>
                      <w:rFonts w:cs="Segoe UI"/>
                    </w:rPr>
                  </w:pPr>
                </w:p>
              </w:tc>
              <w:tc>
                <w:tcPr>
                  <w:tcW w:w="0" w:type="auto"/>
                  <w:vAlign w:val="center"/>
                  <w:hideMark/>
                </w:tcPr>
                <w:p w14:paraId="17FC3D7F" w14:textId="77777777" w:rsidR="00864BDA" w:rsidRPr="00B83ED2" w:rsidRDefault="00864BDA" w:rsidP="00864BDA">
                  <w:pPr>
                    <w:pStyle w:val="STTABULKY"/>
                    <w:rPr>
                      <w:rFonts w:cs="Segoe UI"/>
                    </w:rPr>
                  </w:pPr>
                </w:p>
              </w:tc>
            </w:tr>
          </w:tbl>
          <w:p w14:paraId="58EB75AF" w14:textId="77777777" w:rsidR="00864BDA" w:rsidRPr="00B83ED2" w:rsidRDefault="00864BDA" w:rsidP="00864BDA">
            <w:pPr>
              <w:pStyle w:val="STTABULKY"/>
              <w:rPr>
                <w:rFonts w:cs="Segoe UI"/>
              </w:rPr>
            </w:pPr>
          </w:p>
        </w:tc>
      </w:tr>
      <w:tr w:rsidR="00864BDA" w:rsidRPr="00B83ED2" w14:paraId="575C84D2" w14:textId="77777777" w:rsidTr="00C716E4">
        <w:trPr>
          <w:trHeight w:val="411"/>
        </w:trPr>
        <w:tc>
          <w:tcPr>
            <w:tcW w:w="757" w:type="dxa"/>
            <w:shd w:val="clear" w:color="auto" w:fill="auto"/>
            <w:noWrap/>
            <w:vAlign w:val="center"/>
          </w:tcPr>
          <w:p w14:paraId="71815ECB" w14:textId="6376CDC8" w:rsidR="00864BDA" w:rsidRPr="00B83ED2" w:rsidRDefault="00864BDA" w:rsidP="00864BDA">
            <w:pPr>
              <w:pStyle w:val="STTABULKY"/>
              <w:rPr>
                <w:rFonts w:cs="Segoe UI"/>
              </w:rPr>
            </w:pPr>
            <w:r w:rsidRPr="00B83ED2">
              <w:rPr>
                <w:rFonts w:cs="Segoe UI"/>
              </w:rPr>
              <w:t>495/9</w:t>
            </w:r>
          </w:p>
        </w:tc>
        <w:tc>
          <w:tcPr>
            <w:tcW w:w="851" w:type="dxa"/>
            <w:shd w:val="clear" w:color="auto" w:fill="auto"/>
            <w:noWrap/>
            <w:vAlign w:val="center"/>
          </w:tcPr>
          <w:p w14:paraId="0B1E7C73" w14:textId="508C7B3F" w:rsidR="00864BDA" w:rsidRPr="00B83ED2" w:rsidRDefault="00864BDA" w:rsidP="00864BDA">
            <w:pPr>
              <w:pStyle w:val="STTABULKY"/>
              <w:jc w:val="right"/>
              <w:rPr>
                <w:rFonts w:cs="Segoe UI"/>
              </w:rPr>
            </w:pPr>
            <w:r w:rsidRPr="00B83ED2">
              <w:rPr>
                <w:rFonts w:cs="Segoe UI"/>
              </w:rPr>
              <w:t>373</w:t>
            </w:r>
          </w:p>
        </w:tc>
        <w:tc>
          <w:tcPr>
            <w:tcW w:w="680" w:type="dxa"/>
            <w:shd w:val="clear" w:color="auto" w:fill="auto"/>
            <w:vAlign w:val="center"/>
          </w:tcPr>
          <w:p w14:paraId="2B98EE11" w14:textId="66182FEB" w:rsidR="00864BDA" w:rsidRPr="00B83ED2" w:rsidRDefault="00864BDA" w:rsidP="00864BDA">
            <w:pPr>
              <w:pStyle w:val="STTABULKY"/>
              <w:jc w:val="center"/>
              <w:rPr>
                <w:rFonts w:cs="Segoe UI"/>
              </w:rPr>
            </w:pPr>
            <w:r w:rsidRPr="00B83ED2">
              <w:rPr>
                <w:rFonts w:cs="Segoe UI"/>
              </w:rPr>
              <w:t>3799</w:t>
            </w:r>
          </w:p>
        </w:tc>
        <w:tc>
          <w:tcPr>
            <w:tcW w:w="1624" w:type="dxa"/>
            <w:shd w:val="clear" w:color="auto" w:fill="auto"/>
            <w:vAlign w:val="center"/>
          </w:tcPr>
          <w:p w14:paraId="24F1D50C" w14:textId="29BE2CEA" w:rsidR="00864BDA" w:rsidRPr="00B83ED2" w:rsidRDefault="00864BDA" w:rsidP="00864BDA">
            <w:pPr>
              <w:pStyle w:val="STTABULKY"/>
              <w:rPr>
                <w:rFonts w:cs="Segoe UI"/>
              </w:rPr>
            </w:pPr>
            <w:r w:rsidRPr="00B83ED2">
              <w:rPr>
                <w:rFonts w:cs="Segoe UI"/>
              </w:rPr>
              <w:t>sportoviště a rekreační plocha</w:t>
            </w:r>
          </w:p>
        </w:tc>
        <w:tc>
          <w:tcPr>
            <w:tcW w:w="2642" w:type="dxa"/>
            <w:shd w:val="clear" w:color="auto" w:fill="auto"/>
            <w:vAlign w:val="center"/>
          </w:tcPr>
          <w:p w14:paraId="6C870326" w14:textId="7A37948A" w:rsidR="00864BDA" w:rsidRPr="00B83ED2" w:rsidRDefault="00864BDA" w:rsidP="00864BDA">
            <w:pPr>
              <w:pStyle w:val="STTABULKY"/>
              <w:rPr>
                <w:rFonts w:cs="Segoe UI"/>
              </w:rPr>
            </w:pPr>
            <w:r w:rsidRPr="00B83ED2">
              <w:rPr>
                <w:rFonts w:cs="Segoe UI"/>
              </w:rPr>
              <w:t>ostatní plocha</w:t>
            </w:r>
          </w:p>
        </w:tc>
        <w:tc>
          <w:tcPr>
            <w:tcW w:w="2513" w:type="dxa"/>
            <w:vMerge/>
            <w:shd w:val="clear" w:color="auto" w:fill="auto"/>
            <w:vAlign w:val="center"/>
          </w:tcPr>
          <w:p w14:paraId="1290C830" w14:textId="77777777" w:rsidR="00864BDA" w:rsidRPr="00B83ED2" w:rsidRDefault="00864BDA" w:rsidP="00864BDA">
            <w:pPr>
              <w:pStyle w:val="STTABULKY"/>
              <w:rPr>
                <w:rFonts w:cs="Segoe UI"/>
              </w:rPr>
            </w:pPr>
          </w:p>
        </w:tc>
      </w:tr>
      <w:tr w:rsidR="00864BDA" w:rsidRPr="00B83ED2" w14:paraId="3DC1F325" w14:textId="77777777" w:rsidTr="00C716E4">
        <w:trPr>
          <w:trHeight w:val="411"/>
        </w:trPr>
        <w:tc>
          <w:tcPr>
            <w:tcW w:w="757" w:type="dxa"/>
            <w:shd w:val="clear" w:color="auto" w:fill="auto"/>
            <w:noWrap/>
            <w:vAlign w:val="center"/>
          </w:tcPr>
          <w:p w14:paraId="4597E3A5" w14:textId="60E0FBE4" w:rsidR="00864BDA" w:rsidRPr="00B83ED2" w:rsidRDefault="00864BDA" w:rsidP="00864BDA">
            <w:pPr>
              <w:pStyle w:val="STTABULKY"/>
              <w:rPr>
                <w:rFonts w:cs="Segoe UI"/>
              </w:rPr>
            </w:pPr>
            <w:r>
              <w:rPr>
                <w:rFonts w:cs="Segoe UI"/>
              </w:rPr>
              <w:t>5302</w:t>
            </w:r>
          </w:p>
        </w:tc>
        <w:tc>
          <w:tcPr>
            <w:tcW w:w="851" w:type="dxa"/>
            <w:shd w:val="clear" w:color="auto" w:fill="auto"/>
            <w:noWrap/>
            <w:vAlign w:val="center"/>
          </w:tcPr>
          <w:p w14:paraId="6F05036F" w14:textId="754F85EC" w:rsidR="00864BDA" w:rsidRPr="00B83ED2" w:rsidRDefault="00864BDA" w:rsidP="00864BDA">
            <w:pPr>
              <w:pStyle w:val="STTABULKY"/>
              <w:jc w:val="right"/>
              <w:rPr>
                <w:rFonts w:cs="Segoe UI"/>
              </w:rPr>
            </w:pPr>
            <w:r>
              <w:rPr>
                <w:rFonts w:cs="Segoe UI"/>
              </w:rPr>
              <w:t>62</w:t>
            </w:r>
          </w:p>
        </w:tc>
        <w:tc>
          <w:tcPr>
            <w:tcW w:w="680" w:type="dxa"/>
            <w:shd w:val="clear" w:color="auto" w:fill="auto"/>
            <w:vAlign w:val="center"/>
          </w:tcPr>
          <w:p w14:paraId="2E61B901" w14:textId="74860A6C" w:rsidR="00864BDA" w:rsidRPr="00B83ED2" w:rsidRDefault="00864BDA" w:rsidP="00864BDA">
            <w:pPr>
              <w:pStyle w:val="STTABULKY"/>
              <w:jc w:val="center"/>
              <w:rPr>
                <w:rFonts w:cs="Segoe UI"/>
              </w:rPr>
            </w:pPr>
            <w:r>
              <w:rPr>
                <w:rFonts w:cs="Segoe UI"/>
              </w:rPr>
              <w:t>3799</w:t>
            </w:r>
          </w:p>
        </w:tc>
        <w:tc>
          <w:tcPr>
            <w:tcW w:w="1624" w:type="dxa"/>
            <w:shd w:val="clear" w:color="auto" w:fill="auto"/>
            <w:vAlign w:val="center"/>
          </w:tcPr>
          <w:p w14:paraId="7603229E" w14:textId="77777777" w:rsidR="00864BDA" w:rsidRPr="00B83ED2" w:rsidRDefault="00864BDA" w:rsidP="00864BDA">
            <w:pPr>
              <w:pStyle w:val="STTABULKY"/>
              <w:rPr>
                <w:rFonts w:cs="Segoe UI"/>
              </w:rPr>
            </w:pPr>
          </w:p>
        </w:tc>
        <w:tc>
          <w:tcPr>
            <w:tcW w:w="2642" w:type="dxa"/>
            <w:shd w:val="clear" w:color="auto" w:fill="auto"/>
            <w:vAlign w:val="center"/>
          </w:tcPr>
          <w:p w14:paraId="7153FDA2" w14:textId="33235DEB" w:rsidR="00864BDA" w:rsidRPr="00B83ED2" w:rsidRDefault="00864BDA" w:rsidP="00864BDA">
            <w:pPr>
              <w:pStyle w:val="STTABULKY"/>
              <w:rPr>
                <w:rFonts w:cs="Segoe UI"/>
              </w:rPr>
            </w:pPr>
            <w:r w:rsidRPr="00B83ED2">
              <w:rPr>
                <w:rFonts w:cs="Segoe UI"/>
              </w:rPr>
              <w:t>zastavěná plocha a nádvoří</w:t>
            </w:r>
          </w:p>
        </w:tc>
        <w:tc>
          <w:tcPr>
            <w:tcW w:w="2513" w:type="dxa"/>
            <w:vMerge/>
            <w:shd w:val="clear" w:color="auto" w:fill="auto"/>
            <w:vAlign w:val="center"/>
          </w:tcPr>
          <w:p w14:paraId="3E3621F8" w14:textId="77777777" w:rsidR="00864BDA" w:rsidRPr="00B83ED2" w:rsidRDefault="00864BDA" w:rsidP="00864BDA">
            <w:pPr>
              <w:pStyle w:val="STTABULKY"/>
              <w:rPr>
                <w:rFonts w:cs="Segoe UI"/>
              </w:rPr>
            </w:pPr>
          </w:p>
        </w:tc>
      </w:tr>
      <w:tr w:rsidR="00864BDA" w:rsidRPr="00B83ED2" w14:paraId="21B5A292" w14:textId="77777777" w:rsidTr="00C716E4">
        <w:trPr>
          <w:trHeight w:val="411"/>
        </w:trPr>
        <w:tc>
          <w:tcPr>
            <w:tcW w:w="757" w:type="dxa"/>
            <w:shd w:val="clear" w:color="auto" w:fill="auto"/>
            <w:noWrap/>
            <w:vAlign w:val="center"/>
          </w:tcPr>
          <w:p w14:paraId="482FEEFB" w14:textId="26B230B5" w:rsidR="00864BDA" w:rsidRPr="00B83ED2" w:rsidRDefault="00864BDA" w:rsidP="00864BDA">
            <w:pPr>
              <w:pStyle w:val="STTABULKY"/>
              <w:rPr>
                <w:rFonts w:cs="Segoe UI"/>
              </w:rPr>
            </w:pPr>
            <w:r>
              <w:rPr>
                <w:rFonts w:cs="Segoe UI"/>
              </w:rPr>
              <w:t>7413</w:t>
            </w:r>
          </w:p>
        </w:tc>
        <w:tc>
          <w:tcPr>
            <w:tcW w:w="851" w:type="dxa"/>
            <w:shd w:val="clear" w:color="auto" w:fill="auto"/>
            <w:noWrap/>
            <w:vAlign w:val="center"/>
          </w:tcPr>
          <w:p w14:paraId="71EFDE30" w14:textId="4455B197" w:rsidR="00864BDA" w:rsidRPr="00B83ED2" w:rsidRDefault="00864BDA" w:rsidP="00864BDA">
            <w:pPr>
              <w:pStyle w:val="STTABULKY"/>
              <w:jc w:val="right"/>
              <w:rPr>
                <w:rFonts w:cs="Segoe UI"/>
              </w:rPr>
            </w:pPr>
            <w:r>
              <w:rPr>
                <w:rFonts w:cs="Segoe UI"/>
              </w:rPr>
              <w:t>28</w:t>
            </w:r>
          </w:p>
        </w:tc>
        <w:tc>
          <w:tcPr>
            <w:tcW w:w="680" w:type="dxa"/>
            <w:shd w:val="clear" w:color="auto" w:fill="auto"/>
            <w:vAlign w:val="center"/>
          </w:tcPr>
          <w:p w14:paraId="1A2BC177" w14:textId="02798B30" w:rsidR="00864BDA" w:rsidRPr="00B83ED2" w:rsidRDefault="00864BDA" w:rsidP="00864BDA">
            <w:pPr>
              <w:pStyle w:val="STTABULKY"/>
              <w:jc w:val="center"/>
              <w:rPr>
                <w:rFonts w:cs="Segoe UI"/>
              </w:rPr>
            </w:pPr>
            <w:r>
              <w:rPr>
                <w:rFonts w:cs="Segoe UI"/>
              </w:rPr>
              <w:t>3799</w:t>
            </w:r>
          </w:p>
        </w:tc>
        <w:tc>
          <w:tcPr>
            <w:tcW w:w="1624" w:type="dxa"/>
            <w:shd w:val="clear" w:color="auto" w:fill="auto"/>
            <w:vAlign w:val="center"/>
          </w:tcPr>
          <w:p w14:paraId="1BA9A69C" w14:textId="77777777" w:rsidR="00864BDA" w:rsidRPr="00B83ED2" w:rsidRDefault="00864BDA" w:rsidP="00864BDA">
            <w:pPr>
              <w:pStyle w:val="STTABULKY"/>
              <w:rPr>
                <w:rFonts w:cs="Segoe UI"/>
              </w:rPr>
            </w:pPr>
          </w:p>
        </w:tc>
        <w:tc>
          <w:tcPr>
            <w:tcW w:w="2642" w:type="dxa"/>
            <w:shd w:val="clear" w:color="auto" w:fill="auto"/>
            <w:vAlign w:val="center"/>
          </w:tcPr>
          <w:p w14:paraId="566960DF" w14:textId="7059BA5E" w:rsidR="00864BDA" w:rsidRPr="00B83ED2" w:rsidRDefault="00864BDA" w:rsidP="00864BDA">
            <w:pPr>
              <w:pStyle w:val="STTABULKY"/>
              <w:rPr>
                <w:rFonts w:cs="Segoe UI"/>
              </w:rPr>
            </w:pPr>
            <w:r w:rsidRPr="00B83ED2">
              <w:rPr>
                <w:rFonts w:cs="Segoe UI"/>
              </w:rPr>
              <w:t>zastavěná plocha a nádvoří</w:t>
            </w:r>
          </w:p>
        </w:tc>
        <w:tc>
          <w:tcPr>
            <w:tcW w:w="2513" w:type="dxa"/>
            <w:vMerge/>
            <w:shd w:val="clear" w:color="auto" w:fill="auto"/>
            <w:vAlign w:val="center"/>
          </w:tcPr>
          <w:p w14:paraId="23B63FAD" w14:textId="77777777" w:rsidR="00864BDA" w:rsidRPr="00B83ED2" w:rsidRDefault="00864BDA" w:rsidP="00864BDA">
            <w:pPr>
              <w:pStyle w:val="STTABULKY"/>
              <w:rPr>
                <w:rFonts w:cs="Segoe UI"/>
              </w:rPr>
            </w:pPr>
          </w:p>
        </w:tc>
      </w:tr>
      <w:tr w:rsidR="00864BDA" w:rsidRPr="00B83ED2" w14:paraId="186C31D5" w14:textId="77777777" w:rsidTr="00C716E4">
        <w:trPr>
          <w:trHeight w:val="411"/>
        </w:trPr>
        <w:tc>
          <w:tcPr>
            <w:tcW w:w="757" w:type="dxa"/>
            <w:shd w:val="clear" w:color="auto" w:fill="auto"/>
            <w:noWrap/>
            <w:vAlign w:val="center"/>
          </w:tcPr>
          <w:p w14:paraId="25E07CCD" w14:textId="08175949" w:rsidR="00864BDA" w:rsidRPr="00B83ED2" w:rsidRDefault="00864BDA" w:rsidP="00864BDA">
            <w:pPr>
              <w:pStyle w:val="STTABULKY"/>
              <w:rPr>
                <w:rFonts w:cs="Segoe UI"/>
              </w:rPr>
            </w:pPr>
            <w:r>
              <w:rPr>
                <w:rFonts w:cs="Segoe UI"/>
              </w:rPr>
              <w:t>7232</w:t>
            </w:r>
          </w:p>
        </w:tc>
        <w:tc>
          <w:tcPr>
            <w:tcW w:w="851" w:type="dxa"/>
            <w:shd w:val="clear" w:color="auto" w:fill="auto"/>
            <w:noWrap/>
            <w:vAlign w:val="center"/>
          </w:tcPr>
          <w:p w14:paraId="30207E78" w14:textId="33032191" w:rsidR="00864BDA" w:rsidRPr="00B83ED2" w:rsidRDefault="00864BDA" w:rsidP="00864BDA">
            <w:pPr>
              <w:pStyle w:val="STTABULKY"/>
              <w:jc w:val="right"/>
              <w:rPr>
                <w:rFonts w:cs="Segoe UI"/>
              </w:rPr>
            </w:pPr>
            <w:r>
              <w:rPr>
                <w:rFonts w:cs="Segoe UI"/>
              </w:rPr>
              <w:t>57</w:t>
            </w:r>
          </w:p>
        </w:tc>
        <w:tc>
          <w:tcPr>
            <w:tcW w:w="680" w:type="dxa"/>
            <w:shd w:val="clear" w:color="auto" w:fill="auto"/>
            <w:vAlign w:val="center"/>
          </w:tcPr>
          <w:p w14:paraId="69A08BB2" w14:textId="3C540F69" w:rsidR="00864BDA" w:rsidRPr="00B83ED2" w:rsidRDefault="00864BDA" w:rsidP="00864BDA">
            <w:pPr>
              <w:pStyle w:val="STTABULKY"/>
              <w:jc w:val="center"/>
              <w:rPr>
                <w:rFonts w:cs="Segoe UI"/>
              </w:rPr>
            </w:pPr>
            <w:r>
              <w:rPr>
                <w:rFonts w:cs="Segoe UI"/>
              </w:rPr>
              <w:t>3799</w:t>
            </w:r>
          </w:p>
        </w:tc>
        <w:tc>
          <w:tcPr>
            <w:tcW w:w="1624" w:type="dxa"/>
            <w:shd w:val="clear" w:color="auto" w:fill="auto"/>
            <w:vAlign w:val="center"/>
          </w:tcPr>
          <w:p w14:paraId="4F1C1E27" w14:textId="77777777" w:rsidR="00864BDA" w:rsidRPr="00B83ED2" w:rsidRDefault="00864BDA" w:rsidP="00864BDA">
            <w:pPr>
              <w:pStyle w:val="STTABULKY"/>
              <w:rPr>
                <w:rFonts w:cs="Segoe UI"/>
              </w:rPr>
            </w:pPr>
          </w:p>
        </w:tc>
        <w:tc>
          <w:tcPr>
            <w:tcW w:w="2642" w:type="dxa"/>
            <w:shd w:val="clear" w:color="auto" w:fill="auto"/>
            <w:vAlign w:val="center"/>
          </w:tcPr>
          <w:p w14:paraId="04BDACFE" w14:textId="2C9CECA5" w:rsidR="00864BDA" w:rsidRPr="00B83ED2" w:rsidRDefault="00864BDA" w:rsidP="00864BDA">
            <w:pPr>
              <w:pStyle w:val="STTABULKY"/>
              <w:rPr>
                <w:rFonts w:cs="Segoe UI"/>
              </w:rPr>
            </w:pPr>
            <w:r w:rsidRPr="00B83ED2">
              <w:rPr>
                <w:rFonts w:cs="Segoe UI"/>
              </w:rPr>
              <w:t>zastavěná plocha a nádvoří</w:t>
            </w:r>
          </w:p>
        </w:tc>
        <w:tc>
          <w:tcPr>
            <w:tcW w:w="2513" w:type="dxa"/>
            <w:vMerge/>
            <w:shd w:val="clear" w:color="auto" w:fill="auto"/>
            <w:vAlign w:val="center"/>
          </w:tcPr>
          <w:p w14:paraId="7BA2322F" w14:textId="77777777" w:rsidR="00864BDA" w:rsidRPr="00B83ED2" w:rsidRDefault="00864BDA" w:rsidP="00864BDA">
            <w:pPr>
              <w:pStyle w:val="STTABULKY"/>
              <w:rPr>
                <w:rFonts w:cs="Segoe UI"/>
              </w:rPr>
            </w:pPr>
          </w:p>
        </w:tc>
      </w:tr>
      <w:tr w:rsidR="00997F1C" w:rsidRPr="00B83ED2" w14:paraId="3D61A8B1" w14:textId="77777777" w:rsidTr="00C716E4">
        <w:trPr>
          <w:trHeight w:val="411"/>
        </w:trPr>
        <w:tc>
          <w:tcPr>
            <w:tcW w:w="757" w:type="dxa"/>
            <w:shd w:val="clear" w:color="auto" w:fill="auto"/>
            <w:noWrap/>
            <w:vAlign w:val="center"/>
          </w:tcPr>
          <w:p w14:paraId="3BE1857F" w14:textId="4234165A" w:rsidR="00997F1C" w:rsidRPr="00B83ED2" w:rsidRDefault="00997F1C" w:rsidP="00864BDA">
            <w:pPr>
              <w:pStyle w:val="STTABULKY"/>
              <w:rPr>
                <w:rFonts w:cs="Segoe UI"/>
              </w:rPr>
            </w:pPr>
            <w:r w:rsidRPr="00B83ED2">
              <w:rPr>
                <w:rFonts w:cs="Segoe UI"/>
              </w:rPr>
              <w:t>1269/1</w:t>
            </w:r>
          </w:p>
        </w:tc>
        <w:tc>
          <w:tcPr>
            <w:tcW w:w="851" w:type="dxa"/>
            <w:shd w:val="clear" w:color="auto" w:fill="auto"/>
            <w:noWrap/>
            <w:vAlign w:val="center"/>
          </w:tcPr>
          <w:p w14:paraId="55CB2916" w14:textId="5AABF185" w:rsidR="00997F1C" w:rsidRPr="00B83ED2" w:rsidRDefault="00997F1C" w:rsidP="00864BDA">
            <w:pPr>
              <w:pStyle w:val="STTABULKY"/>
              <w:jc w:val="right"/>
              <w:rPr>
                <w:rFonts w:cs="Segoe UI"/>
              </w:rPr>
            </w:pPr>
            <w:r w:rsidRPr="00B83ED2">
              <w:rPr>
                <w:rFonts w:cs="Segoe UI"/>
              </w:rPr>
              <w:t>8975</w:t>
            </w:r>
          </w:p>
        </w:tc>
        <w:tc>
          <w:tcPr>
            <w:tcW w:w="680" w:type="dxa"/>
            <w:shd w:val="clear" w:color="auto" w:fill="auto"/>
            <w:vAlign w:val="center"/>
          </w:tcPr>
          <w:p w14:paraId="6DF40390" w14:textId="70CE1938" w:rsidR="00997F1C" w:rsidRPr="00B83ED2" w:rsidRDefault="00997F1C" w:rsidP="00864BDA">
            <w:pPr>
              <w:pStyle w:val="STTABULKY"/>
              <w:jc w:val="center"/>
              <w:rPr>
                <w:rFonts w:cs="Segoe UI"/>
              </w:rPr>
            </w:pPr>
            <w:r w:rsidRPr="00B83ED2">
              <w:rPr>
                <w:rFonts w:cs="Segoe UI"/>
              </w:rPr>
              <w:t>10001</w:t>
            </w:r>
          </w:p>
        </w:tc>
        <w:tc>
          <w:tcPr>
            <w:tcW w:w="1624" w:type="dxa"/>
            <w:shd w:val="clear" w:color="auto" w:fill="auto"/>
            <w:vAlign w:val="center"/>
          </w:tcPr>
          <w:p w14:paraId="45398B98" w14:textId="5CE6CC79" w:rsidR="00997F1C" w:rsidRPr="00B83ED2" w:rsidRDefault="00997F1C" w:rsidP="00864BDA">
            <w:pPr>
              <w:pStyle w:val="STTABULKY"/>
              <w:rPr>
                <w:rFonts w:cs="Segoe UI"/>
              </w:rPr>
            </w:pPr>
            <w:r w:rsidRPr="00B83ED2">
              <w:rPr>
                <w:rFonts w:cs="Segoe UI"/>
              </w:rPr>
              <w:t>ostatní komunikace</w:t>
            </w:r>
          </w:p>
        </w:tc>
        <w:tc>
          <w:tcPr>
            <w:tcW w:w="2642" w:type="dxa"/>
            <w:shd w:val="clear" w:color="auto" w:fill="auto"/>
            <w:vAlign w:val="center"/>
          </w:tcPr>
          <w:p w14:paraId="4BAD2FCB" w14:textId="5F2B2955" w:rsidR="00997F1C" w:rsidRPr="00B83ED2" w:rsidRDefault="00997F1C" w:rsidP="00864BDA">
            <w:pPr>
              <w:pStyle w:val="STTABULKY"/>
              <w:rPr>
                <w:rFonts w:cs="Segoe UI"/>
              </w:rPr>
            </w:pPr>
            <w:r w:rsidRPr="00B83ED2">
              <w:rPr>
                <w:rFonts w:cs="Segoe UI"/>
              </w:rPr>
              <w:t>ostatní plocha</w:t>
            </w:r>
          </w:p>
        </w:tc>
        <w:tc>
          <w:tcPr>
            <w:tcW w:w="2513" w:type="dxa"/>
            <w:vMerge w:val="restart"/>
            <w:shd w:val="clear" w:color="auto" w:fill="auto"/>
            <w:vAlign w:val="center"/>
          </w:tcPr>
          <w:p w14:paraId="4E0F55F6" w14:textId="00355A63" w:rsidR="00997F1C" w:rsidRPr="00B83ED2" w:rsidRDefault="00997F1C" w:rsidP="00864BDA">
            <w:pPr>
              <w:pStyle w:val="STTABULKY"/>
              <w:rPr>
                <w:rFonts w:cs="Segoe UI"/>
              </w:rPr>
            </w:pPr>
            <w:r w:rsidRPr="00B83ED2">
              <w:rPr>
                <w:rFonts w:cs="Segoe UI"/>
              </w:rPr>
              <w:t>Statutární město Mladá Boleslav</w:t>
            </w:r>
          </w:p>
        </w:tc>
      </w:tr>
      <w:tr w:rsidR="00997F1C" w:rsidRPr="00B83ED2" w14:paraId="5FF61A8C" w14:textId="77777777" w:rsidTr="00C716E4">
        <w:trPr>
          <w:trHeight w:val="411"/>
        </w:trPr>
        <w:tc>
          <w:tcPr>
            <w:tcW w:w="757" w:type="dxa"/>
            <w:shd w:val="clear" w:color="auto" w:fill="auto"/>
            <w:noWrap/>
            <w:vAlign w:val="center"/>
          </w:tcPr>
          <w:p w14:paraId="0B090439" w14:textId="6B87E987" w:rsidR="00997F1C" w:rsidRPr="00B83ED2" w:rsidRDefault="00997F1C" w:rsidP="00864BDA">
            <w:pPr>
              <w:pStyle w:val="STTABULKY"/>
              <w:rPr>
                <w:rFonts w:cs="Segoe UI"/>
              </w:rPr>
            </w:pPr>
            <w:r>
              <w:rPr>
                <w:rFonts w:cs="Segoe UI"/>
              </w:rPr>
              <w:t>1278/1</w:t>
            </w:r>
          </w:p>
        </w:tc>
        <w:tc>
          <w:tcPr>
            <w:tcW w:w="851" w:type="dxa"/>
            <w:shd w:val="clear" w:color="auto" w:fill="auto"/>
            <w:noWrap/>
            <w:vAlign w:val="center"/>
          </w:tcPr>
          <w:p w14:paraId="73F3B27B" w14:textId="3939C86B" w:rsidR="00997F1C" w:rsidRPr="00B83ED2" w:rsidRDefault="00997F1C" w:rsidP="00864BDA">
            <w:pPr>
              <w:pStyle w:val="STTABULKY"/>
              <w:jc w:val="right"/>
              <w:rPr>
                <w:rFonts w:cs="Segoe UI"/>
              </w:rPr>
            </w:pPr>
            <w:r>
              <w:rPr>
                <w:rFonts w:cs="Segoe UI"/>
              </w:rPr>
              <w:t>6118</w:t>
            </w:r>
          </w:p>
        </w:tc>
        <w:tc>
          <w:tcPr>
            <w:tcW w:w="680" w:type="dxa"/>
            <w:shd w:val="clear" w:color="auto" w:fill="auto"/>
            <w:vAlign w:val="center"/>
          </w:tcPr>
          <w:p w14:paraId="6713063A" w14:textId="79F54D18" w:rsidR="00997F1C" w:rsidRPr="00B83ED2" w:rsidRDefault="00997F1C" w:rsidP="00864BDA">
            <w:pPr>
              <w:pStyle w:val="STTABULKY"/>
              <w:jc w:val="center"/>
              <w:rPr>
                <w:rFonts w:cs="Segoe UI"/>
              </w:rPr>
            </w:pPr>
            <w:r>
              <w:rPr>
                <w:rFonts w:cs="Segoe UI"/>
              </w:rPr>
              <w:t>10001</w:t>
            </w:r>
          </w:p>
        </w:tc>
        <w:tc>
          <w:tcPr>
            <w:tcW w:w="1624" w:type="dxa"/>
            <w:shd w:val="clear" w:color="auto" w:fill="auto"/>
            <w:vAlign w:val="center"/>
          </w:tcPr>
          <w:p w14:paraId="5FE2CE7D" w14:textId="56D66A01" w:rsidR="00997F1C" w:rsidRPr="00B83ED2" w:rsidRDefault="00997F1C" w:rsidP="00864BDA">
            <w:pPr>
              <w:pStyle w:val="STTABULKY"/>
              <w:rPr>
                <w:rFonts w:cs="Segoe UI"/>
              </w:rPr>
            </w:pPr>
            <w:r>
              <w:rPr>
                <w:rFonts w:cs="Segoe UI"/>
              </w:rPr>
              <w:t>silnice</w:t>
            </w:r>
          </w:p>
        </w:tc>
        <w:tc>
          <w:tcPr>
            <w:tcW w:w="2642" w:type="dxa"/>
            <w:shd w:val="clear" w:color="auto" w:fill="auto"/>
            <w:vAlign w:val="center"/>
          </w:tcPr>
          <w:p w14:paraId="1B186F13" w14:textId="4469B669" w:rsidR="00997F1C" w:rsidRPr="00B83ED2" w:rsidRDefault="00997F1C" w:rsidP="00864BDA">
            <w:pPr>
              <w:pStyle w:val="STTABULKY"/>
              <w:rPr>
                <w:rFonts w:cs="Segoe UI"/>
              </w:rPr>
            </w:pPr>
            <w:r>
              <w:rPr>
                <w:rFonts w:cs="Segoe UI"/>
              </w:rPr>
              <w:t>ostatní plocha</w:t>
            </w:r>
          </w:p>
        </w:tc>
        <w:tc>
          <w:tcPr>
            <w:tcW w:w="2513" w:type="dxa"/>
            <w:vMerge/>
            <w:shd w:val="clear" w:color="auto" w:fill="auto"/>
            <w:vAlign w:val="center"/>
          </w:tcPr>
          <w:p w14:paraId="1369E154" w14:textId="77777777" w:rsidR="00997F1C" w:rsidRPr="00B83ED2" w:rsidRDefault="00997F1C" w:rsidP="00864BDA">
            <w:pPr>
              <w:pStyle w:val="STTABULKY"/>
              <w:rPr>
                <w:rFonts w:cs="Segoe UI"/>
              </w:rPr>
            </w:pPr>
          </w:p>
        </w:tc>
      </w:tr>
      <w:tr w:rsidR="00864BDA" w:rsidRPr="00B83ED2" w14:paraId="640129BB" w14:textId="77777777" w:rsidTr="00C716E4">
        <w:trPr>
          <w:trHeight w:val="411"/>
        </w:trPr>
        <w:tc>
          <w:tcPr>
            <w:tcW w:w="757" w:type="dxa"/>
            <w:shd w:val="clear" w:color="auto" w:fill="auto"/>
            <w:noWrap/>
            <w:vAlign w:val="center"/>
          </w:tcPr>
          <w:p w14:paraId="19E29FEA" w14:textId="6DFAE7F2" w:rsidR="00864BDA" w:rsidRPr="00B83ED2" w:rsidRDefault="00864BDA" w:rsidP="00864BDA">
            <w:pPr>
              <w:pStyle w:val="STTABULKY"/>
              <w:rPr>
                <w:rFonts w:cs="Segoe UI"/>
              </w:rPr>
            </w:pPr>
            <w:r w:rsidRPr="00B83ED2">
              <w:rPr>
                <w:rFonts w:cs="Segoe UI"/>
              </w:rPr>
              <w:t>1448/1</w:t>
            </w:r>
          </w:p>
        </w:tc>
        <w:tc>
          <w:tcPr>
            <w:tcW w:w="851" w:type="dxa"/>
            <w:shd w:val="clear" w:color="auto" w:fill="auto"/>
            <w:noWrap/>
            <w:vAlign w:val="center"/>
          </w:tcPr>
          <w:p w14:paraId="261D9127" w14:textId="7CBE2B1A" w:rsidR="00864BDA" w:rsidRPr="00B83ED2" w:rsidRDefault="00864BDA" w:rsidP="00864BDA">
            <w:pPr>
              <w:pStyle w:val="STTABULKY"/>
              <w:jc w:val="right"/>
              <w:rPr>
                <w:rFonts w:cs="Segoe UI"/>
              </w:rPr>
            </w:pPr>
            <w:r w:rsidRPr="00B83ED2">
              <w:rPr>
                <w:rFonts w:cs="Segoe UI"/>
              </w:rPr>
              <w:t>9882</w:t>
            </w:r>
          </w:p>
        </w:tc>
        <w:tc>
          <w:tcPr>
            <w:tcW w:w="680" w:type="dxa"/>
            <w:shd w:val="clear" w:color="auto" w:fill="auto"/>
            <w:vAlign w:val="center"/>
          </w:tcPr>
          <w:p w14:paraId="57564109" w14:textId="7BD1A59F" w:rsidR="00864BDA" w:rsidRPr="00B83ED2" w:rsidRDefault="00864BDA" w:rsidP="00864BDA">
            <w:pPr>
              <w:pStyle w:val="STTABULKY"/>
              <w:jc w:val="center"/>
              <w:rPr>
                <w:rFonts w:cs="Segoe UI"/>
              </w:rPr>
            </w:pPr>
            <w:r w:rsidRPr="00B83ED2">
              <w:rPr>
                <w:rFonts w:cs="Segoe UI"/>
              </w:rPr>
              <w:t>2995</w:t>
            </w:r>
          </w:p>
        </w:tc>
        <w:tc>
          <w:tcPr>
            <w:tcW w:w="1624" w:type="dxa"/>
            <w:shd w:val="clear" w:color="auto" w:fill="auto"/>
            <w:vAlign w:val="center"/>
          </w:tcPr>
          <w:p w14:paraId="2309D521" w14:textId="2151D128" w:rsidR="00864BDA" w:rsidRPr="00B83ED2" w:rsidRDefault="00864BDA" w:rsidP="00864BDA">
            <w:pPr>
              <w:pStyle w:val="STTABULKY"/>
              <w:rPr>
                <w:rFonts w:cs="Segoe UI"/>
              </w:rPr>
            </w:pPr>
            <w:r w:rsidRPr="00B83ED2">
              <w:rPr>
                <w:rFonts w:cs="Segoe UI"/>
              </w:rPr>
              <w:t>dráha</w:t>
            </w:r>
          </w:p>
        </w:tc>
        <w:tc>
          <w:tcPr>
            <w:tcW w:w="2642" w:type="dxa"/>
            <w:shd w:val="clear" w:color="auto" w:fill="auto"/>
            <w:vAlign w:val="center"/>
          </w:tcPr>
          <w:p w14:paraId="4B422B2E" w14:textId="5BA31208" w:rsidR="00864BDA" w:rsidRPr="00B83ED2" w:rsidRDefault="00997F1C" w:rsidP="00864BDA">
            <w:pPr>
              <w:pStyle w:val="STTABULKY"/>
              <w:rPr>
                <w:rFonts w:cs="Segoe UI"/>
              </w:rPr>
            </w:pPr>
            <w:r>
              <w:rPr>
                <w:rFonts w:cs="Segoe UI"/>
              </w:rPr>
              <w:t>o</w:t>
            </w:r>
            <w:r w:rsidR="00864BDA" w:rsidRPr="00B83ED2">
              <w:rPr>
                <w:rFonts w:cs="Segoe UI"/>
              </w:rPr>
              <w:t>statní plocha</w:t>
            </w:r>
          </w:p>
        </w:tc>
        <w:tc>
          <w:tcPr>
            <w:tcW w:w="2513" w:type="dxa"/>
            <w:shd w:val="clear" w:color="auto" w:fill="auto"/>
            <w:vAlign w:val="center"/>
          </w:tcPr>
          <w:p w14:paraId="3ED8732C" w14:textId="47A4D3C3" w:rsidR="00864BDA" w:rsidRPr="00B83ED2" w:rsidRDefault="00864BDA" w:rsidP="00864BDA">
            <w:pPr>
              <w:pStyle w:val="STTABULKY"/>
              <w:rPr>
                <w:rFonts w:cs="Segoe UI"/>
              </w:rPr>
            </w:pPr>
            <w:r w:rsidRPr="00B83ED2">
              <w:rPr>
                <w:rFonts w:cs="Segoe UI"/>
              </w:rPr>
              <w:t>Česká republika</w:t>
            </w:r>
          </w:p>
          <w:p w14:paraId="14C4FFF7" w14:textId="78F75B4A" w:rsidR="00864BDA" w:rsidRPr="00B83ED2" w:rsidRDefault="00864BDA" w:rsidP="00864BDA">
            <w:pPr>
              <w:pStyle w:val="STTABULKY"/>
              <w:rPr>
                <w:rFonts w:cs="Segoe UI"/>
              </w:rPr>
            </w:pPr>
            <w:r w:rsidRPr="00B83ED2">
              <w:rPr>
                <w:rFonts w:cs="Segoe UI"/>
              </w:rPr>
              <w:t>Příslušnost hospodařit s majetkem státu:</w:t>
            </w:r>
          </w:p>
          <w:p w14:paraId="195CB629" w14:textId="13F162B1" w:rsidR="00864BDA" w:rsidRPr="00B83ED2" w:rsidRDefault="00864BDA" w:rsidP="00864BDA">
            <w:pPr>
              <w:pStyle w:val="STTABULKY"/>
              <w:rPr>
                <w:rFonts w:cs="Segoe UI"/>
              </w:rPr>
            </w:pPr>
            <w:r w:rsidRPr="00B83ED2">
              <w:rPr>
                <w:rFonts w:cs="Segoe UI"/>
                <w:color w:val="000000"/>
                <w:szCs w:val="20"/>
                <w:shd w:val="clear" w:color="auto" w:fill="FEFEFE"/>
              </w:rPr>
              <w:t>Správa železniční dopravní cesty, státní organizace</w:t>
            </w:r>
          </w:p>
          <w:p w14:paraId="447F5588" w14:textId="27D55988" w:rsidR="00864BDA" w:rsidRPr="00B83ED2" w:rsidRDefault="00864BDA" w:rsidP="00864BDA">
            <w:pPr>
              <w:pStyle w:val="STTABULKY"/>
              <w:rPr>
                <w:rFonts w:cs="Segoe UI"/>
              </w:rPr>
            </w:pPr>
          </w:p>
        </w:tc>
      </w:tr>
    </w:tbl>
    <w:p w14:paraId="4EE3CD46" w14:textId="77777777" w:rsidR="00F07185" w:rsidRPr="00F07185" w:rsidRDefault="00F07185" w:rsidP="00904061">
      <w:pPr>
        <w:pStyle w:val="STNORMLN-2"/>
        <w:rPr>
          <w:rFonts w:cs="Segoe UI"/>
        </w:rPr>
      </w:pPr>
    </w:p>
    <w:p w14:paraId="40D7EB6E" w14:textId="19F798EC" w:rsidR="009A725E" w:rsidRPr="00B83ED2" w:rsidRDefault="009A725E" w:rsidP="00E35D91">
      <w:pPr>
        <w:pStyle w:val="STodrkyabc"/>
      </w:pPr>
      <w:bookmarkStart w:id="45" w:name="_Toc24561544"/>
      <w:bookmarkStart w:id="46" w:name="_Toc24561649"/>
      <w:r w:rsidRPr="00B83ED2">
        <w:t>Seznam pozemků podle katastru nemovitostí, na kterých vznikne ochranné nebo</w:t>
      </w:r>
      <w:r w:rsidR="00F07185">
        <w:t> </w:t>
      </w:r>
      <w:r w:rsidRPr="00B83ED2">
        <w:t>bezpečnostní pásmo.</w:t>
      </w:r>
      <w:bookmarkEnd w:id="45"/>
      <w:bookmarkEnd w:id="46"/>
    </w:p>
    <w:p w14:paraId="0DE79902" w14:textId="64B267F2" w:rsidR="00AE0A6F" w:rsidRPr="00B83ED2" w:rsidRDefault="00D1229F" w:rsidP="004267E0">
      <w:pPr>
        <w:pStyle w:val="STNORMLN-2"/>
        <w:rPr>
          <w:rFonts w:cs="Segoe UI"/>
        </w:rPr>
      </w:pPr>
      <w:r>
        <w:rPr>
          <w:rFonts w:cs="Segoe UI"/>
        </w:rPr>
        <w:t xml:space="preserve">Realizací stavby nevznikne žádné nové ochranné </w:t>
      </w:r>
      <w:r w:rsidR="00605742">
        <w:rPr>
          <w:rFonts w:cs="Segoe UI"/>
        </w:rPr>
        <w:t>pásmo.</w:t>
      </w:r>
    </w:p>
    <w:p w14:paraId="79544BD7" w14:textId="5AE03D60" w:rsidR="005A258F" w:rsidRPr="00B83ED2" w:rsidRDefault="005A258F" w:rsidP="00E35D91">
      <w:pPr>
        <w:pStyle w:val="STNADPIS1"/>
      </w:pPr>
      <w:bookmarkStart w:id="47" w:name="_Toc18567052"/>
      <w:bookmarkStart w:id="48" w:name="_Toc24561545"/>
      <w:bookmarkStart w:id="49" w:name="_Toc24561650"/>
      <w:bookmarkStart w:id="50" w:name="_Toc24641052"/>
      <w:r w:rsidRPr="00B83ED2">
        <w:t>Celkový popis stavby</w:t>
      </w:r>
      <w:bookmarkEnd w:id="47"/>
      <w:bookmarkEnd w:id="48"/>
      <w:bookmarkEnd w:id="49"/>
      <w:bookmarkEnd w:id="50"/>
    </w:p>
    <w:p w14:paraId="18903CA7" w14:textId="4CA5E60C" w:rsidR="009158AF" w:rsidRPr="00B83ED2" w:rsidRDefault="009158AF" w:rsidP="009158AF">
      <w:pPr>
        <w:pStyle w:val="STNADPIS2"/>
      </w:pPr>
      <w:bookmarkStart w:id="51" w:name="_Toc18567053"/>
      <w:bookmarkStart w:id="52" w:name="_Toc24561546"/>
      <w:bookmarkStart w:id="53" w:name="_Toc24561651"/>
      <w:bookmarkStart w:id="54" w:name="_Toc24641053"/>
      <w:r w:rsidRPr="009158AF">
        <w:t>Základní charakteristika stavby a jejího užívání</w:t>
      </w:r>
      <w:bookmarkEnd w:id="54"/>
    </w:p>
    <w:p w14:paraId="0C7459E4" w14:textId="39BFF54C" w:rsidR="005A258F" w:rsidRPr="00F44CE1" w:rsidRDefault="005A258F" w:rsidP="00E35D91">
      <w:pPr>
        <w:pStyle w:val="STodrkyabc"/>
        <w:numPr>
          <w:ilvl w:val="0"/>
          <w:numId w:val="26"/>
        </w:numPr>
      </w:pPr>
      <w:bookmarkStart w:id="55" w:name="_Toc24561547"/>
      <w:bookmarkStart w:id="56" w:name="_Toc24561652"/>
      <w:bookmarkEnd w:id="51"/>
      <w:bookmarkEnd w:id="52"/>
      <w:bookmarkEnd w:id="53"/>
      <w:r w:rsidRPr="00F44CE1">
        <w:t>Nová stavba nebo změna dokončené stavby</w:t>
      </w:r>
      <w:bookmarkEnd w:id="55"/>
      <w:bookmarkEnd w:id="56"/>
    </w:p>
    <w:p w14:paraId="054766F4" w14:textId="58DA7B36" w:rsidR="00275588" w:rsidRDefault="00275588" w:rsidP="00275588">
      <w:pPr>
        <w:pStyle w:val="STNORMLN-2"/>
      </w:pPr>
      <w:bookmarkStart w:id="57" w:name="_Hlk13059732"/>
      <w:bookmarkStart w:id="58" w:name="_Hlk13559238"/>
      <w:bookmarkStart w:id="59" w:name="_Hlk13063402"/>
      <w:r>
        <w:t xml:space="preserve">Předmětem </w:t>
      </w:r>
      <w:r w:rsidRPr="00EA5F84">
        <w:t>projektové dokumentace je změna dokončené stavby</w:t>
      </w:r>
      <w:r>
        <w:t xml:space="preserve">. Změna zahrnuje </w:t>
      </w:r>
      <w:r w:rsidRPr="00EA5F84">
        <w:t>přístavb</w:t>
      </w:r>
      <w:r>
        <w:t>u</w:t>
      </w:r>
      <w:r w:rsidRPr="00EA5F84">
        <w:t xml:space="preserve">, zateplení pláště stavby a </w:t>
      </w:r>
      <w:r>
        <w:t xml:space="preserve">související </w:t>
      </w:r>
      <w:r w:rsidRPr="00EA5F84">
        <w:t>bourací práce</w:t>
      </w:r>
      <w:r>
        <w:t>, v jejichž důsledku dojde ke změně půdorysného a výškového ohraničení stavby.</w:t>
      </w:r>
      <w:bookmarkEnd w:id="57"/>
      <w:r>
        <w:t xml:space="preserve"> </w:t>
      </w:r>
      <w:bookmarkEnd w:id="58"/>
      <w:r>
        <w:t>V důsledku zateplení obvodového pláště, výměny a doplnění okenních otvorů v obvodových konstrukcích a přístavby na západní straně budovy se změní vzhled stavby.</w:t>
      </w:r>
      <w:bookmarkEnd w:id="59"/>
    </w:p>
    <w:p w14:paraId="4E552F7D" w14:textId="1D980DDB" w:rsidR="007E17E3" w:rsidRPr="007E17E3" w:rsidRDefault="007E17E3" w:rsidP="004E62A9">
      <w:pPr>
        <w:pStyle w:val="STNORMLN-2"/>
      </w:pPr>
      <w:r w:rsidRPr="007E17E3">
        <w:t>Stávající stavba je samostatnou volně stojící budovou z 30–40 let minulého století. Po uvedení do provozu byl objekt půdorysu tvaru „L“ s přístupovým venkovním schodištěm zapuštěným do objektu. Po 2. světové válce objekt patřil podniku SZZ Mladá Boleslav. V roce 1986 byla povolena drobná přístavba vstupu, původně venkovní přístupové schodiště bylo uzavřeno vstupní předsazenou verandou v mnohoúhelníkovém tvaru. V roce 1992 byla atelierem ARSPRO Mladá Boleslav vyprojektována přístavba západního křídla objektu. Přístavba byla v</w:t>
      </w:r>
      <w:r w:rsidR="00605742">
        <w:t> </w:t>
      </w:r>
      <w:r w:rsidRPr="007E17E3">
        <w:t>následujících letech realizována. Objekt je dvoupodlažní, s plochou střechou čtvercového tvaru základního rozměru 11,1 x 11,1 m celkové výšky 7,4 m.</w:t>
      </w:r>
    </w:p>
    <w:p w14:paraId="350BA03C" w14:textId="77777777" w:rsidR="007E17E3" w:rsidRPr="007E17E3" w:rsidRDefault="007E17E3" w:rsidP="004E62A9">
      <w:pPr>
        <w:pStyle w:val="STNORMLN-2"/>
      </w:pPr>
      <w:r w:rsidRPr="007E17E3">
        <w:t>Stávající objekt byl realizován klasicky jako zděný cihlový, se železobetonovými žebříkovými stropy. Předpokládané zastřešení objektu je klasickým dřevěným trámovým stropem s násypem ve spádu ke střešní vpusti svodu umístěného uvnitř dispozice. Střešní krytinou je v celé ploše asfaltový pás.</w:t>
      </w:r>
    </w:p>
    <w:p w14:paraId="1A0EDEC3" w14:textId="70B7A9C1" w:rsidR="007E17E3" w:rsidRPr="007E17E3" w:rsidRDefault="007E17E3" w:rsidP="004E62A9">
      <w:pPr>
        <w:pStyle w:val="STNORMLN-2"/>
      </w:pPr>
      <w:r w:rsidRPr="007E17E3">
        <w:t>Přístavba je realizovaná novější technologií, obvodové stěny jsou vyzděny z pálených tvarovek CD INA. Zastřešení přístavby je provedeno pultovou střechou, pravděpodobně dvouplášťovou s odvětrávanou dutinou, ve spádu ke stávající střešní vpusti. Střešní krytinou je i zde asfaltový pás. Celou plochou střechu čtvercového tvaru lemuje obvodová atika</w:t>
      </w:r>
      <w:r w:rsidR="00605742">
        <w:t>, přerušená v m</w:t>
      </w:r>
      <w:r w:rsidRPr="007E17E3">
        <w:t xml:space="preserve">ístech původního tvaru objektu z důvodu odtoku vody </w:t>
      </w:r>
      <w:r w:rsidR="00605742" w:rsidRPr="007E17E3">
        <w:t>ze</w:t>
      </w:r>
      <w:r w:rsidRPr="007E17E3">
        <w:t xml:space="preserve"> střechy přístavby.</w:t>
      </w:r>
    </w:p>
    <w:p w14:paraId="4784A4D3" w14:textId="39722DD4" w:rsidR="007E17E3" w:rsidRPr="007E17E3" w:rsidRDefault="007E17E3" w:rsidP="004E62A9">
      <w:pPr>
        <w:pStyle w:val="STNORMLN-2"/>
      </w:pPr>
      <w:r w:rsidRPr="007E17E3">
        <w:t>Ve stávající dispozici objektu je v 1. patře umístěna jedna bytová jednotka. V přízemí jsou dvě prostorné garáže s revizními (servisními) jámami v podlaze. Jedna z garáží má obloukovou apsidu na severní stěně. Výjezd z garáží je přímo na sousední chodník, bez převýšení. Objekt má několik sklípků a sklep, které mají podlahu umístěnou v mezipodlaží tj. 1,5 a 2,0 m pod úrovní 1. patra.</w:t>
      </w:r>
    </w:p>
    <w:p w14:paraId="46B3FF27" w14:textId="77777777" w:rsidR="007E17E3" w:rsidRPr="007E17E3" w:rsidRDefault="007E17E3" w:rsidP="004E62A9">
      <w:pPr>
        <w:pStyle w:val="STNORMLN-2"/>
      </w:pPr>
      <w:r w:rsidRPr="007E17E3">
        <w:t>Bytová jednotka v 1. patře má podlahu ve dvou výškových úrovních. Ve starší části je podlaha v úrovni +0,000 – jedná se o pokoje, koupelnu, WC, kuchyň a halu. Z haly je možný vstup do přístavby po vnitřním schodišti se třemi stupni na podestu, odkud je vyvedeno vnitřní dřevěné schodiště do mezipatra přístavby. Podlaha v mezipatře je v úrovni -1,8 m. Prostor této místnosti umístěné v přístavbě je otevřený do stropu 1. patra. Z této místnosti je přístupná samostatná hygienická buňka pod podestou a zádveří v západní stěně.</w:t>
      </w:r>
    </w:p>
    <w:p w14:paraId="3334009B" w14:textId="6CDB5412" w:rsidR="007E17E3" w:rsidRPr="004E62A9" w:rsidRDefault="007E17E3" w:rsidP="004E62A9">
      <w:pPr>
        <w:pStyle w:val="STNORMLN-2"/>
      </w:pPr>
      <w:r w:rsidRPr="007E17E3">
        <w:t>Okna jsou různých velikostí v různých výškových úrovních s ohledem na členitost objektu. Vnitřní prostor stavby je velmi dobře přirozeně prosvětlen.</w:t>
      </w:r>
    </w:p>
    <w:p w14:paraId="0B3CC6EC" w14:textId="322678C8" w:rsidR="005A258F" w:rsidRPr="00F44CE1" w:rsidRDefault="005A258F" w:rsidP="00E35D91">
      <w:pPr>
        <w:pStyle w:val="STodrkyabc"/>
        <w:rPr>
          <w:b/>
        </w:rPr>
      </w:pPr>
      <w:bookmarkStart w:id="60" w:name="_Toc24561548"/>
      <w:bookmarkStart w:id="61" w:name="_Toc24561653"/>
      <w:r w:rsidRPr="00F44CE1">
        <w:t>Účel užívání stavby</w:t>
      </w:r>
      <w:bookmarkEnd w:id="60"/>
      <w:bookmarkEnd w:id="61"/>
    </w:p>
    <w:p w14:paraId="6E58D611" w14:textId="77777777" w:rsidR="00B0724D" w:rsidRPr="00B83ED2" w:rsidRDefault="00B0724D" w:rsidP="00BC1CE3">
      <w:pPr>
        <w:pStyle w:val="STNORMLN-1"/>
      </w:pPr>
      <w:r w:rsidRPr="002F6467">
        <w:t xml:space="preserve">Stávající účel využití budovy k bydlení v rodinném domě </w:t>
      </w:r>
      <w:r>
        <w:t>ne</w:t>
      </w:r>
      <w:r w:rsidRPr="002F6467">
        <w:t>bude zachován</w:t>
      </w:r>
      <w:r>
        <w:t>.</w:t>
      </w:r>
      <w:r w:rsidRPr="002F6467">
        <w:t xml:space="preserve"> </w:t>
      </w:r>
      <w:r>
        <w:t>Navrhovaný účel užívání stavby je občanská vybavenost. Objekt bude sloužit k poskytování sociálních služeb. B</w:t>
      </w:r>
      <w:r w:rsidRPr="002F6467">
        <w:t>udovu budou využívat k bydlení osoby se zdravotním postižením společně s pečovateli.</w:t>
      </w:r>
      <w:r>
        <w:t xml:space="preserve"> </w:t>
      </w:r>
    </w:p>
    <w:p w14:paraId="6B1BF493" w14:textId="7023B784" w:rsidR="005A258F" w:rsidRPr="00F44CE1" w:rsidRDefault="005A258F" w:rsidP="00E35D91">
      <w:pPr>
        <w:pStyle w:val="STodrkyabc"/>
        <w:rPr>
          <w:b/>
        </w:rPr>
      </w:pPr>
      <w:bookmarkStart w:id="62" w:name="_Toc24561549"/>
      <w:bookmarkStart w:id="63" w:name="_Toc24561654"/>
      <w:r w:rsidRPr="00F44CE1">
        <w:t>Trvalá nebo dočasná stavba</w:t>
      </w:r>
      <w:bookmarkEnd w:id="62"/>
      <w:bookmarkEnd w:id="63"/>
    </w:p>
    <w:p w14:paraId="254428A2" w14:textId="7325780D" w:rsidR="005A258F" w:rsidRPr="00B83ED2" w:rsidRDefault="00F81F3B" w:rsidP="005A258F">
      <w:pPr>
        <w:pStyle w:val="STNORMLN-2"/>
        <w:rPr>
          <w:rFonts w:cs="Segoe UI"/>
        </w:rPr>
      </w:pPr>
      <w:r w:rsidRPr="00B83ED2">
        <w:rPr>
          <w:rFonts w:cs="Segoe UI"/>
        </w:rPr>
        <w:t>Jedná se o stavbu</w:t>
      </w:r>
      <w:r w:rsidR="005146D0" w:rsidRPr="00B83ED2">
        <w:rPr>
          <w:rFonts w:cs="Segoe UI"/>
        </w:rPr>
        <w:t xml:space="preserve"> trvalou</w:t>
      </w:r>
      <w:r w:rsidRPr="00B83ED2">
        <w:rPr>
          <w:rFonts w:cs="Segoe UI"/>
        </w:rPr>
        <w:t>.</w:t>
      </w:r>
    </w:p>
    <w:p w14:paraId="42D7950F" w14:textId="630AFCC8" w:rsidR="005A258F" w:rsidRPr="00F44CE1" w:rsidRDefault="005A258F" w:rsidP="00E35D91">
      <w:pPr>
        <w:pStyle w:val="STodrkyabc"/>
        <w:rPr>
          <w:b/>
        </w:rPr>
      </w:pPr>
      <w:bookmarkStart w:id="64" w:name="_Toc24561550"/>
      <w:bookmarkStart w:id="65" w:name="_Toc24561655"/>
      <w:r w:rsidRPr="00F44CE1">
        <w:t xml:space="preserve">Informace o vydaných rozhodnutích o povolení výjimky z technických požadavků na stavby a technických požadavků </w:t>
      </w:r>
      <w:r w:rsidR="00663738" w:rsidRPr="00F44CE1">
        <w:t>zabezpečujících bezbariérové užívání stavby</w:t>
      </w:r>
      <w:bookmarkEnd w:id="64"/>
      <w:bookmarkEnd w:id="65"/>
    </w:p>
    <w:p w14:paraId="602D32A6" w14:textId="30C20306" w:rsidR="007E17E3" w:rsidRPr="00B83ED2" w:rsidRDefault="007E17E3" w:rsidP="004E62A9">
      <w:pPr>
        <w:pStyle w:val="STNORMLN-2"/>
        <w:rPr>
          <w:rFonts w:cs="Segoe UI"/>
          <w:highlight w:val="yellow"/>
        </w:rPr>
      </w:pPr>
      <w:r w:rsidRPr="007E17E3">
        <w:t>Ve smyslu vyhlášky č. 398/2009 sb. musí být zajištěn bezbariérový přístup do stavby. Bezbariérový přístup k budově bude zajištěn ze sousedního pozemku Centra 83. Navržené prostory v přístavbě umožňují užívání osobami s omezenou schopností pohybu. V tomto patře je navrženo hygienické zázemí.</w:t>
      </w:r>
    </w:p>
    <w:p w14:paraId="3C76F26A" w14:textId="1DFADCDE" w:rsidR="00663738" w:rsidRPr="00F44CE1" w:rsidRDefault="00663738" w:rsidP="00E35D91">
      <w:pPr>
        <w:pStyle w:val="STodrkyabc"/>
        <w:rPr>
          <w:b/>
        </w:rPr>
      </w:pPr>
      <w:bookmarkStart w:id="66" w:name="_Toc24561551"/>
      <w:bookmarkStart w:id="67" w:name="_Toc24561656"/>
      <w:r w:rsidRPr="00F44CE1">
        <w:t>Informace</w:t>
      </w:r>
      <w:r w:rsidR="007E17E3" w:rsidRPr="00F44CE1">
        <w:t xml:space="preserve"> </w:t>
      </w:r>
      <w:r w:rsidRPr="00F44CE1">
        <w:t>o tom, zda a v jakých částech dokumentace jsou zohledněny podmínky závazných stanovisek dotčených orgánů</w:t>
      </w:r>
      <w:bookmarkEnd w:id="66"/>
      <w:bookmarkEnd w:id="67"/>
    </w:p>
    <w:p w14:paraId="4CE6C642" w14:textId="19F1A3C9" w:rsidR="00663738" w:rsidRPr="00B83ED2" w:rsidRDefault="00EC4B5B" w:rsidP="00663738">
      <w:pPr>
        <w:pStyle w:val="STNORMLN-2"/>
        <w:rPr>
          <w:rFonts w:cs="Segoe UI"/>
          <w:i/>
          <w:highlight w:val="lightGray"/>
        </w:rPr>
      </w:pPr>
      <w:r w:rsidRPr="00EC4B5B">
        <w:rPr>
          <w:rFonts w:cs="Segoe UI"/>
        </w:rPr>
        <w:t xml:space="preserve">Po získání stanovisek a vyjádření DOSS, bude vypořádání případných podmínek popsáno v části E </w:t>
      </w:r>
      <w:r w:rsidR="007E17E3">
        <w:rPr>
          <w:rFonts w:cs="Segoe UI"/>
        </w:rPr>
        <w:t>– Dokladová část</w:t>
      </w:r>
      <w:r w:rsidRPr="00EC4B5B">
        <w:rPr>
          <w:rFonts w:cs="Segoe UI"/>
        </w:rPr>
        <w:t>. Podmínky budou zapracovány do čistopisu projektu.</w:t>
      </w:r>
    </w:p>
    <w:p w14:paraId="420DC4C4" w14:textId="55FAA973" w:rsidR="00663738" w:rsidRPr="00F44CE1" w:rsidRDefault="00663738" w:rsidP="00E35D91">
      <w:pPr>
        <w:pStyle w:val="STodrkyabc"/>
        <w:rPr>
          <w:b/>
        </w:rPr>
      </w:pPr>
      <w:bookmarkStart w:id="68" w:name="_Toc24561552"/>
      <w:bookmarkStart w:id="69" w:name="_Toc24561657"/>
      <w:r w:rsidRPr="00F44CE1">
        <w:t>Ochrana stavby podle jiných právních předpisů</w:t>
      </w:r>
      <w:bookmarkEnd w:id="68"/>
      <w:bookmarkEnd w:id="69"/>
    </w:p>
    <w:p w14:paraId="25426208" w14:textId="1339DCE4" w:rsidR="00663738" w:rsidRPr="00B83ED2" w:rsidRDefault="00642F3F" w:rsidP="00663738">
      <w:pPr>
        <w:pStyle w:val="STNORMLN-2"/>
        <w:rPr>
          <w:rFonts w:cs="Segoe UI"/>
        </w:rPr>
      </w:pPr>
      <w:r w:rsidRPr="00B83ED2">
        <w:rPr>
          <w:rFonts w:cs="Segoe UI"/>
        </w:rPr>
        <w:t xml:space="preserve">Objekt není pod </w:t>
      </w:r>
      <w:r w:rsidR="002E5659" w:rsidRPr="00B83ED2">
        <w:rPr>
          <w:rFonts w:cs="Segoe UI"/>
        </w:rPr>
        <w:t>žádnou</w:t>
      </w:r>
      <w:r w:rsidRPr="00B83ED2">
        <w:rPr>
          <w:rFonts w:cs="Segoe UI"/>
        </w:rPr>
        <w:t xml:space="preserve"> ochranou podle </w:t>
      </w:r>
      <w:r w:rsidR="002E5659" w:rsidRPr="00B83ED2">
        <w:rPr>
          <w:rFonts w:cs="Segoe UI"/>
        </w:rPr>
        <w:t>jiných</w:t>
      </w:r>
      <w:r w:rsidRPr="00B83ED2">
        <w:rPr>
          <w:rFonts w:cs="Segoe UI"/>
        </w:rPr>
        <w:t xml:space="preserve"> právních předpisů (kulturní památka, </w:t>
      </w:r>
      <w:r w:rsidR="002E5659" w:rsidRPr="00B83ED2">
        <w:rPr>
          <w:rFonts w:cs="Segoe UI"/>
        </w:rPr>
        <w:t>chráněné</w:t>
      </w:r>
      <w:r w:rsidRPr="00B83ED2">
        <w:rPr>
          <w:rFonts w:cs="Segoe UI"/>
        </w:rPr>
        <w:t xml:space="preserve"> území atd.)</w:t>
      </w:r>
      <w:r w:rsidR="009C6631">
        <w:rPr>
          <w:rFonts w:cs="Segoe UI"/>
        </w:rPr>
        <w:t>.</w:t>
      </w:r>
    </w:p>
    <w:p w14:paraId="5E669D8C" w14:textId="4EDBFE4A" w:rsidR="00663738" w:rsidRPr="00F44CE1" w:rsidRDefault="00663738" w:rsidP="00E35D91">
      <w:pPr>
        <w:pStyle w:val="STodrkyabc"/>
        <w:rPr>
          <w:b/>
        </w:rPr>
      </w:pPr>
      <w:bookmarkStart w:id="70" w:name="_Toc24561553"/>
      <w:bookmarkStart w:id="71" w:name="_Toc24561658"/>
      <w:r w:rsidRPr="00F44CE1">
        <w:t>Navrhované parametry stavby</w:t>
      </w:r>
      <w:bookmarkEnd w:id="70"/>
      <w:bookmarkEnd w:id="71"/>
    </w:p>
    <w:p w14:paraId="4AEA8328" w14:textId="77777777" w:rsidR="007E17E3" w:rsidRPr="00F44CE1" w:rsidRDefault="007E17E3" w:rsidP="00E35D91">
      <w:pPr>
        <w:pStyle w:val="STodrkyabc"/>
        <w:numPr>
          <w:ilvl w:val="0"/>
          <w:numId w:val="9"/>
        </w:numPr>
      </w:pPr>
      <w:r w:rsidRPr="00F44CE1">
        <w:t>Stávající stav</w:t>
      </w:r>
    </w:p>
    <w:p w14:paraId="21B66183" w14:textId="77777777" w:rsidR="007E17E3" w:rsidRPr="00904061" w:rsidRDefault="007E17E3" w:rsidP="00F44CE1">
      <w:pPr>
        <w:pStyle w:val="STNORMLN-2"/>
        <w:tabs>
          <w:tab w:val="right" w:pos="6804"/>
        </w:tabs>
        <w:ind w:left="709"/>
        <w:rPr>
          <w:vertAlign w:val="superscript"/>
        </w:rPr>
      </w:pPr>
      <w:r w:rsidRPr="00904061">
        <w:t>Zastavěná plocha stávající stavby:</w:t>
      </w:r>
      <w:r w:rsidRPr="00904061">
        <w:tab/>
      </w:r>
      <w:r>
        <w:t>135</w:t>
      </w:r>
      <w:r w:rsidRPr="00904061">
        <w:t xml:space="preserve"> m</w:t>
      </w:r>
      <w:r w:rsidRPr="00904061">
        <w:rPr>
          <w:vertAlign w:val="superscript"/>
        </w:rPr>
        <w:t>2</w:t>
      </w:r>
    </w:p>
    <w:p w14:paraId="6CC7991B" w14:textId="77777777" w:rsidR="007E17E3" w:rsidRPr="00904061" w:rsidRDefault="007E17E3" w:rsidP="00F44CE1">
      <w:pPr>
        <w:pStyle w:val="STNORMLN-2"/>
        <w:tabs>
          <w:tab w:val="right" w:pos="6804"/>
        </w:tabs>
        <w:ind w:left="709"/>
      </w:pPr>
      <w:r w:rsidRPr="00904061">
        <w:t>Obestavěný prostor stávající stavby:</w:t>
      </w:r>
      <w:r w:rsidRPr="00904061">
        <w:tab/>
        <w:t>876 m</w:t>
      </w:r>
      <w:r w:rsidRPr="00904061">
        <w:rPr>
          <w:vertAlign w:val="superscript"/>
        </w:rPr>
        <w:t>3</w:t>
      </w:r>
    </w:p>
    <w:p w14:paraId="40499BB1" w14:textId="22690763" w:rsidR="007E17E3" w:rsidRPr="00F44CE1" w:rsidRDefault="00BC1CE3" w:rsidP="00E35D91">
      <w:pPr>
        <w:pStyle w:val="STodrkyabc"/>
        <w:numPr>
          <w:ilvl w:val="0"/>
          <w:numId w:val="8"/>
        </w:numPr>
      </w:pPr>
      <w:r>
        <w:t>Změna dokončené stavby:</w:t>
      </w:r>
    </w:p>
    <w:p w14:paraId="62E6AAF1" w14:textId="77777777" w:rsidR="007E17E3" w:rsidRPr="00904061" w:rsidRDefault="007E17E3" w:rsidP="00BE3844">
      <w:pPr>
        <w:pStyle w:val="STNORMLN-2"/>
        <w:tabs>
          <w:tab w:val="right" w:pos="6804"/>
        </w:tabs>
        <w:ind w:left="709"/>
      </w:pPr>
      <w:r w:rsidRPr="00904061">
        <w:t>Zastavěná plocha rekonstruované stavby:</w:t>
      </w:r>
      <w:r>
        <w:tab/>
      </w:r>
      <w:r w:rsidRPr="00904061">
        <w:t>13</w:t>
      </w:r>
      <w:r>
        <w:t>4</w:t>
      </w:r>
      <w:r w:rsidRPr="00904061">
        <w:t xml:space="preserve"> m</w:t>
      </w:r>
      <w:r w:rsidRPr="00047512">
        <w:rPr>
          <w:vertAlign w:val="superscript"/>
        </w:rPr>
        <w:t>2</w:t>
      </w:r>
    </w:p>
    <w:p w14:paraId="4638D0FE" w14:textId="77777777" w:rsidR="007E17E3" w:rsidRPr="00904061" w:rsidRDefault="007E17E3" w:rsidP="00BE3844">
      <w:pPr>
        <w:pStyle w:val="STNORMLN-2"/>
        <w:tabs>
          <w:tab w:val="right" w:pos="6804"/>
        </w:tabs>
        <w:ind w:left="709"/>
      </w:pPr>
      <w:r w:rsidRPr="00904061">
        <w:t>Obestavěný prostor rekonstruované stavby:</w:t>
      </w:r>
      <w:r>
        <w:tab/>
      </w:r>
      <w:r w:rsidRPr="00904061">
        <w:t>865 m</w:t>
      </w:r>
      <w:r w:rsidRPr="00047512">
        <w:rPr>
          <w:vertAlign w:val="superscript"/>
        </w:rPr>
        <w:t>3</w:t>
      </w:r>
    </w:p>
    <w:p w14:paraId="0CB67A44" w14:textId="77777777" w:rsidR="007E17E3" w:rsidRPr="0079461E" w:rsidRDefault="007E17E3">
      <w:pPr>
        <w:pStyle w:val="STNORMLN-2"/>
        <w:tabs>
          <w:tab w:val="right" w:pos="6804"/>
        </w:tabs>
        <w:ind w:left="709"/>
      </w:pPr>
      <w:r w:rsidRPr="00904061">
        <w:t>Zastavěná plocha přístavby:</w:t>
      </w:r>
      <w:r w:rsidRPr="00904061">
        <w:tab/>
        <w:t>58,</w:t>
      </w:r>
      <w:r>
        <w:t>5</w:t>
      </w:r>
      <w:r w:rsidRPr="00904061">
        <w:t xml:space="preserve"> m</w:t>
      </w:r>
      <w:r w:rsidRPr="00047512">
        <w:rPr>
          <w:vertAlign w:val="superscript"/>
        </w:rPr>
        <w:t>2</w:t>
      </w:r>
    </w:p>
    <w:p w14:paraId="4F7D3BF3" w14:textId="77777777" w:rsidR="007E17E3" w:rsidRDefault="007E17E3">
      <w:pPr>
        <w:pStyle w:val="STNORMLN-2"/>
        <w:tabs>
          <w:tab w:val="right" w:pos="6804"/>
        </w:tabs>
        <w:ind w:left="709"/>
      </w:pPr>
      <w:r w:rsidRPr="00904061">
        <w:t>Obestavěný prostor přístavby:</w:t>
      </w:r>
      <w:r w:rsidRPr="00904061">
        <w:tab/>
      </w:r>
      <w:r>
        <w:t>258</w:t>
      </w:r>
      <w:r w:rsidRPr="00904061">
        <w:t xml:space="preserve"> m</w:t>
      </w:r>
      <w:r w:rsidRPr="00047512">
        <w:rPr>
          <w:vertAlign w:val="superscript"/>
        </w:rPr>
        <w:t>3</w:t>
      </w:r>
    </w:p>
    <w:p w14:paraId="1271AA6E" w14:textId="77777777" w:rsidR="007E17E3" w:rsidRDefault="007E17E3">
      <w:pPr>
        <w:pStyle w:val="STNORMLN-2"/>
        <w:tabs>
          <w:tab w:val="right" w:pos="6804"/>
        </w:tabs>
        <w:ind w:left="709"/>
      </w:pPr>
      <w:r>
        <w:t>Užitná plocha:</w:t>
      </w:r>
    </w:p>
    <w:p w14:paraId="2DA3E693" w14:textId="77777777" w:rsidR="007E17E3" w:rsidRPr="00904061" w:rsidRDefault="007E17E3" w:rsidP="00F44CE1">
      <w:pPr>
        <w:pStyle w:val="STODRKY"/>
        <w:tabs>
          <w:tab w:val="left" w:pos="2835"/>
        </w:tabs>
        <w:spacing w:after="60"/>
        <w:ind w:left="1134" w:firstLine="1276"/>
      </w:pPr>
      <w:r>
        <w:t>Přízemí:</w:t>
      </w:r>
      <w:r>
        <w:tab/>
        <w:t>53 m</w:t>
      </w:r>
      <w:r>
        <w:rPr>
          <w:vertAlign w:val="superscript"/>
        </w:rPr>
        <w:t>2</w:t>
      </w:r>
    </w:p>
    <w:p w14:paraId="03D15A1E" w14:textId="77777777" w:rsidR="007E17E3" w:rsidRPr="00904061" w:rsidRDefault="007E17E3" w:rsidP="00F44CE1">
      <w:pPr>
        <w:pStyle w:val="STODRKY"/>
        <w:tabs>
          <w:tab w:val="left" w:pos="2835"/>
        </w:tabs>
        <w:spacing w:after="60"/>
        <w:ind w:left="1134" w:hanging="283"/>
      </w:pPr>
      <w:r>
        <w:t>Mezipatro:</w:t>
      </w:r>
      <w:r>
        <w:tab/>
        <w:t>73 m</w:t>
      </w:r>
      <w:r>
        <w:rPr>
          <w:vertAlign w:val="superscript"/>
        </w:rPr>
        <w:t>2</w:t>
      </w:r>
    </w:p>
    <w:p w14:paraId="117AD3AB" w14:textId="77777777" w:rsidR="007E17E3" w:rsidRPr="00904061" w:rsidRDefault="007E17E3" w:rsidP="00F44CE1">
      <w:pPr>
        <w:pStyle w:val="STODRKY"/>
        <w:tabs>
          <w:tab w:val="left" w:pos="2835"/>
        </w:tabs>
        <w:spacing w:after="60"/>
        <w:ind w:left="1134" w:hanging="283"/>
      </w:pPr>
      <w:r>
        <w:t>1. patro:</w:t>
      </w:r>
      <w:r>
        <w:tab/>
        <w:t>56 m</w:t>
      </w:r>
      <w:r>
        <w:rPr>
          <w:vertAlign w:val="superscript"/>
        </w:rPr>
        <w:t>2</w:t>
      </w:r>
    </w:p>
    <w:p w14:paraId="30170563" w14:textId="77777777" w:rsidR="007E17E3" w:rsidRPr="0035721A" w:rsidRDefault="007E17E3" w:rsidP="007E17E3">
      <w:pPr>
        <w:pStyle w:val="STNORMLN-2"/>
        <w:tabs>
          <w:tab w:val="left" w:pos="6096"/>
        </w:tabs>
        <w:ind w:left="709"/>
      </w:pPr>
      <w:r w:rsidRPr="0035721A">
        <w:t>Celková kapacita trvale přítomných zaměstnanců</w:t>
      </w:r>
      <w:r w:rsidRPr="0035721A">
        <w:tab/>
      </w:r>
      <w:r>
        <w:t>1 zaměstnanec</w:t>
      </w:r>
    </w:p>
    <w:p w14:paraId="7E367EA1" w14:textId="77777777" w:rsidR="007E17E3" w:rsidRDefault="007E17E3" w:rsidP="007E17E3">
      <w:pPr>
        <w:pStyle w:val="STNORMLN-2"/>
        <w:tabs>
          <w:tab w:val="left" w:pos="6096"/>
        </w:tabs>
        <w:ind w:left="709"/>
      </w:pPr>
      <w:r w:rsidRPr="0035721A">
        <w:t xml:space="preserve">Celková kapacita </w:t>
      </w:r>
      <w:r>
        <w:t>ubytovaných osob</w:t>
      </w:r>
      <w:r w:rsidRPr="0035721A">
        <w:t xml:space="preserve"> </w:t>
      </w:r>
      <w:r w:rsidRPr="0035721A">
        <w:tab/>
      </w:r>
      <w:r>
        <w:t>6 osob</w:t>
      </w:r>
    </w:p>
    <w:p w14:paraId="0C16245A" w14:textId="0A6222A2" w:rsidR="009C525E" w:rsidRDefault="009C525E" w:rsidP="0035721A">
      <w:pPr>
        <w:pStyle w:val="STNORMLN-2"/>
        <w:rPr>
          <w:rFonts w:cs="Segoe UI"/>
          <w:highlight w:val="yellow"/>
        </w:rPr>
      </w:pPr>
    </w:p>
    <w:p w14:paraId="690E7A1D" w14:textId="76CE544C" w:rsidR="00663738" w:rsidRPr="00546D14" w:rsidRDefault="00663738" w:rsidP="00E35D91">
      <w:pPr>
        <w:pStyle w:val="STodrkyabc"/>
      </w:pPr>
      <w:bookmarkStart w:id="72" w:name="_Toc14187817"/>
      <w:bookmarkStart w:id="73" w:name="_Toc14257784"/>
      <w:bookmarkStart w:id="74" w:name="_Toc14335639"/>
      <w:bookmarkStart w:id="75" w:name="_Toc14445652"/>
      <w:bookmarkStart w:id="76" w:name="_Toc24561554"/>
      <w:bookmarkStart w:id="77" w:name="_Toc24561659"/>
      <w:bookmarkEnd w:id="72"/>
      <w:bookmarkEnd w:id="73"/>
      <w:bookmarkEnd w:id="74"/>
      <w:bookmarkEnd w:id="75"/>
      <w:r w:rsidRPr="00546D14">
        <w:t xml:space="preserve">Základní </w:t>
      </w:r>
      <w:r w:rsidR="00546D14" w:rsidRPr="00546D14">
        <w:t>Bilance Stavby</w:t>
      </w:r>
      <w:bookmarkEnd w:id="76"/>
      <w:bookmarkEnd w:id="77"/>
    </w:p>
    <w:p w14:paraId="6E721517" w14:textId="6A250014" w:rsidR="00373E07" w:rsidRPr="00546D14" w:rsidRDefault="00373E07" w:rsidP="00E35D91">
      <w:pPr>
        <w:pStyle w:val="STNORMLN-2"/>
      </w:pPr>
      <w:r w:rsidRPr="00546D14">
        <w:t>Hydrotechnické výpočty</w:t>
      </w:r>
    </w:p>
    <w:p w14:paraId="0A67CE12" w14:textId="475DA43A" w:rsidR="00373E07" w:rsidRPr="00F44CE1" w:rsidRDefault="00373E07" w:rsidP="00E35D91">
      <w:pPr>
        <w:pStyle w:val="STodrkyabc"/>
        <w:numPr>
          <w:ilvl w:val="0"/>
          <w:numId w:val="10"/>
        </w:numPr>
      </w:pPr>
      <w:r w:rsidRPr="00F44CE1">
        <w:t>Odvodňované plochy</w:t>
      </w:r>
    </w:p>
    <w:p w14:paraId="1DCE3B49" w14:textId="64221A9C" w:rsidR="00373E07" w:rsidRPr="006E7028" w:rsidRDefault="00373E07" w:rsidP="00F44CE1">
      <w:pPr>
        <w:pStyle w:val="STNORMLN-2"/>
      </w:pPr>
      <w:r w:rsidRPr="006E7028">
        <w:t>A = 182 m</w:t>
      </w:r>
      <w:r w:rsidRPr="006E7028">
        <w:rPr>
          <w:vertAlign w:val="superscript"/>
        </w:rPr>
        <w:t>2</w:t>
      </w:r>
    </w:p>
    <w:p w14:paraId="5726D247" w14:textId="0B63D07B" w:rsidR="00373E07" w:rsidRPr="00F44CE1" w:rsidRDefault="00373E07" w:rsidP="00F44CE1">
      <w:pPr>
        <w:pStyle w:val="STNORMLN-2"/>
        <w:rPr>
          <w:vertAlign w:val="superscript"/>
        </w:rPr>
      </w:pPr>
      <w:r w:rsidRPr="006E7028">
        <w:t>A</w:t>
      </w:r>
      <w:r w:rsidRPr="006E7028">
        <w:rPr>
          <w:vertAlign w:val="subscript"/>
        </w:rPr>
        <w:t>red</w:t>
      </w:r>
      <w:r w:rsidRPr="006E7028">
        <w:t xml:space="preserve"> = 182 m</w:t>
      </w:r>
      <w:r w:rsidRPr="006E7028">
        <w:rPr>
          <w:vertAlign w:val="superscript"/>
        </w:rPr>
        <w:t>2</w:t>
      </w:r>
    </w:p>
    <w:p w14:paraId="0F41B130" w14:textId="660F282D" w:rsidR="00373E07" w:rsidRPr="006E7028" w:rsidRDefault="00373E07" w:rsidP="00F44CE1">
      <w:pPr>
        <w:pStyle w:val="STNORMLN-2"/>
      </w:pPr>
      <w:r w:rsidRPr="006E7028">
        <w:t>Lokalita – nejbližší srážkoměrná stanice:</w:t>
      </w:r>
      <w:r w:rsidRPr="006E7028">
        <w:tab/>
        <w:t>7 – Mšeno</w:t>
      </w:r>
    </w:p>
    <w:p w14:paraId="7E0CC354" w14:textId="447CCAFA" w:rsidR="00373E07" w:rsidRPr="00F44CE1" w:rsidRDefault="00373E07" w:rsidP="00F44CE1">
      <w:pPr>
        <w:spacing w:before="100" w:beforeAutospacing="1" w:after="100" w:afterAutospacing="1"/>
        <w:rPr>
          <w:rFonts w:ascii="Arial" w:hAnsi="Arial" w:cs="Arial"/>
          <w:sz w:val="24"/>
          <w:szCs w:val="24"/>
        </w:rPr>
      </w:pPr>
      <w:r w:rsidRPr="00F44CE1">
        <w:rPr>
          <w:rFonts w:ascii="Arial" w:hAnsi="Arial" w:cs="Arial"/>
          <w:noProof/>
          <w:sz w:val="24"/>
          <w:szCs w:val="24"/>
        </w:rPr>
        <w:drawing>
          <wp:inline distT="0" distB="0" distL="0" distR="0" wp14:anchorId="15187AC9" wp14:editId="5EBAEF57">
            <wp:extent cx="2743200" cy="3810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81000"/>
                    </a:xfrm>
                    <a:prstGeom prst="rect">
                      <a:avLst/>
                    </a:prstGeom>
                    <a:noFill/>
                    <a:ln>
                      <a:noFill/>
                    </a:ln>
                  </pic:spPr>
                </pic:pic>
              </a:graphicData>
            </a:graphic>
          </wp:inline>
        </w:drawing>
      </w:r>
      <w:r w:rsidRPr="00F44CE1">
        <w:rPr>
          <w:rFonts w:ascii="Arial" w:hAnsi="Arial" w:cs="Arial"/>
          <w:sz w:val="24"/>
          <w:szCs w:val="24"/>
        </w:rPr>
        <w:t>          </w:t>
      </w:r>
      <w:r w:rsidRPr="00F44CE1">
        <w:rPr>
          <w:rFonts w:ascii="Arial" w:hAnsi="Arial" w:cs="Arial"/>
          <w:noProof/>
          <w:sz w:val="24"/>
          <w:szCs w:val="24"/>
        </w:rPr>
        <w:drawing>
          <wp:inline distT="0" distB="0" distL="0" distR="0" wp14:anchorId="672B2A90" wp14:editId="391FA6BE">
            <wp:extent cx="1028700" cy="4191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8700" cy="419100"/>
                    </a:xfrm>
                    <a:prstGeom prst="rect">
                      <a:avLst/>
                    </a:prstGeom>
                    <a:noFill/>
                    <a:ln>
                      <a:noFill/>
                    </a:ln>
                  </pic:spPr>
                </pic:pic>
              </a:graphicData>
            </a:graphic>
          </wp:inline>
        </w:drawing>
      </w:r>
    </w:p>
    <w:tbl>
      <w:tblPr>
        <w:tblW w:w="0" w:type="auto"/>
        <w:tblCellSpacing w:w="15" w:type="dxa"/>
        <w:tblLook w:val="04A0" w:firstRow="1" w:lastRow="0" w:firstColumn="1" w:lastColumn="0" w:noHBand="0" w:noVBand="1"/>
      </w:tblPr>
      <w:tblGrid>
        <w:gridCol w:w="521"/>
        <w:gridCol w:w="2031"/>
        <w:gridCol w:w="6519"/>
      </w:tblGrid>
      <w:tr w:rsidR="00373E07" w:rsidRPr="003D5EFE" w14:paraId="615401C8" w14:textId="77777777" w:rsidTr="00F44CE1">
        <w:trPr>
          <w:tblCellSpacing w:w="15" w:type="dxa"/>
        </w:trPr>
        <w:tc>
          <w:tcPr>
            <w:tcW w:w="476" w:type="dxa"/>
            <w:tcMar>
              <w:top w:w="15" w:type="dxa"/>
              <w:left w:w="15" w:type="dxa"/>
              <w:bottom w:w="15" w:type="dxa"/>
              <w:right w:w="15" w:type="dxa"/>
            </w:tcMar>
            <w:vAlign w:val="center"/>
            <w:hideMark/>
          </w:tcPr>
          <w:p w14:paraId="4AAE78BB" w14:textId="77777777" w:rsidR="00373E07" w:rsidRPr="00F44CE1" w:rsidRDefault="00373E07">
            <w:pPr>
              <w:rPr>
                <w:rFonts w:ascii="Segoe UI" w:hAnsi="Segoe UI"/>
              </w:rPr>
            </w:pPr>
            <w:r w:rsidRPr="00F44CE1">
              <w:rPr>
                <w:rFonts w:ascii="Segoe UI" w:hAnsi="Segoe UI"/>
              </w:rPr>
              <w:t>A</w:t>
            </w:r>
            <w:r w:rsidRPr="00F44CE1">
              <w:rPr>
                <w:rFonts w:ascii="Segoe UI" w:hAnsi="Segoe UI"/>
                <w:vertAlign w:val="subscript"/>
              </w:rPr>
              <w:t>red</w:t>
            </w:r>
          </w:p>
        </w:tc>
        <w:tc>
          <w:tcPr>
            <w:tcW w:w="2001" w:type="dxa"/>
            <w:tcMar>
              <w:top w:w="15" w:type="dxa"/>
              <w:left w:w="15" w:type="dxa"/>
              <w:bottom w:w="15" w:type="dxa"/>
              <w:right w:w="15" w:type="dxa"/>
            </w:tcMar>
            <w:vAlign w:val="center"/>
            <w:hideMark/>
          </w:tcPr>
          <w:p w14:paraId="225A8AA8" w14:textId="77777777" w:rsidR="00373E07" w:rsidRPr="00F44CE1" w:rsidRDefault="00373E07">
            <w:pPr>
              <w:rPr>
                <w:rFonts w:ascii="Segoe UI" w:hAnsi="Segoe UI"/>
              </w:rPr>
            </w:pPr>
            <w:r w:rsidRPr="00F44CE1">
              <w:rPr>
                <w:rFonts w:ascii="Segoe UI" w:hAnsi="Segoe UI"/>
              </w:rPr>
              <w:t>182 m</w:t>
            </w:r>
            <w:r w:rsidRPr="00F44CE1">
              <w:rPr>
                <w:rFonts w:ascii="Segoe UI" w:hAnsi="Segoe UI" w:cs="Segoe UI"/>
                <w:vertAlign w:val="superscript"/>
              </w:rPr>
              <w:t>2</w:t>
            </w:r>
          </w:p>
        </w:tc>
        <w:tc>
          <w:tcPr>
            <w:tcW w:w="6474" w:type="dxa"/>
            <w:tcMar>
              <w:top w:w="15" w:type="dxa"/>
              <w:left w:w="15" w:type="dxa"/>
              <w:bottom w:w="15" w:type="dxa"/>
              <w:right w:w="15" w:type="dxa"/>
            </w:tcMar>
            <w:vAlign w:val="center"/>
            <w:hideMark/>
          </w:tcPr>
          <w:p w14:paraId="06861804" w14:textId="77777777" w:rsidR="00373E07" w:rsidRPr="00F44CE1" w:rsidRDefault="00373E07">
            <w:pPr>
              <w:rPr>
                <w:rFonts w:ascii="Segoe UI" w:hAnsi="Segoe UI"/>
              </w:rPr>
            </w:pPr>
            <w:r w:rsidRPr="00F44CE1">
              <w:rPr>
                <w:rFonts w:ascii="Segoe UI" w:hAnsi="Segoe UI"/>
              </w:rPr>
              <w:t>redukovaný půdorysný průmět odvodňované plochy</w:t>
            </w:r>
          </w:p>
        </w:tc>
      </w:tr>
      <w:tr w:rsidR="00373E07" w:rsidRPr="003D5EFE" w14:paraId="3247A160" w14:textId="77777777" w:rsidTr="00F44CE1">
        <w:trPr>
          <w:tblCellSpacing w:w="15" w:type="dxa"/>
        </w:trPr>
        <w:tc>
          <w:tcPr>
            <w:tcW w:w="476" w:type="dxa"/>
            <w:tcMar>
              <w:top w:w="15" w:type="dxa"/>
              <w:left w:w="15" w:type="dxa"/>
              <w:bottom w:w="15" w:type="dxa"/>
              <w:right w:w="15" w:type="dxa"/>
            </w:tcMar>
            <w:vAlign w:val="center"/>
            <w:hideMark/>
          </w:tcPr>
          <w:p w14:paraId="6ED53590" w14:textId="77777777" w:rsidR="00373E07" w:rsidRPr="00F44CE1" w:rsidRDefault="00373E07">
            <w:pPr>
              <w:rPr>
                <w:rFonts w:ascii="Segoe UI" w:hAnsi="Segoe UI"/>
              </w:rPr>
            </w:pPr>
            <w:r w:rsidRPr="00F44CE1">
              <w:rPr>
                <w:rFonts w:ascii="Segoe UI" w:hAnsi="Segoe UI"/>
              </w:rPr>
              <w:t>A</w:t>
            </w:r>
            <w:r w:rsidRPr="00F44CE1">
              <w:rPr>
                <w:rFonts w:ascii="Segoe UI" w:hAnsi="Segoe UI"/>
                <w:vertAlign w:val="subscript"/>
              </w:rPr>
              <w:t>vz</w:t>
            </w:r>
          </w:p>
        </w:tc>
        <w:tc>
          <w:tcPr>
            <w:tcW w:w="2001" w:type="dxa"/>
            <w:tcMar>
              <w:top w:w="15" w:type="dxa"/>
              <w:left w:w="15" w:type="dxa"/>
              <w:bottom w:w="15" w:type="dxa"/>
              <w:right w:w="15" w:type="dxa"/>
            </w:tcMar>
            <w:vAlign w:val="center"/>
            <w:hideMark/>
          </w:tcPr>
          <w:p w14:paraId="0474C256" w14:textId="77777777" w:rsidR="00373E07" w:rsidRPr="00F44CE1" w:rsidRDefault="00373E07" w:rsidP="00F44CE1">
            <w:pPr>
              <w:rPr>
                <w:rFonts w:ascii="Segoe UI" w:hAnsi="Segoe UI"/>
              </w:rPr>
            </w:pPr>
            <w:r w:rsidRPr="00F44CE1">
              <w:rPr>
                <w:rFonts w:ascii="Segoe UI" w:hAnsi="Segoe UI"/>
              </w:rPr>
              <w:t>0 m</w:t>
            </w:r>
            <w:r w:rsidRPr="00F44CE1">
              <w:rPr>
                <w:rFonts w:ascii="Segoe UI" w:hAnsi="Segoe UI" w:cs="Segoe UI"/>
                <w:vertAlign w:val="superscript"/>
              </w:rPr>
              <w:t>2</w:t>
            </w:r>
          </w:p>
        </w:tc>
        <w:tc>
          <w:tcPr>
            <w:tcW w:w="6474" w:type="dxa"/>
            <w:tcMar>
              <w:top w:w="15" w:type="dxa"/>
              <w:left w:w="15" w:type="dxa"/>
              <w:bottom w:w="15" w:type="dxa"/>
              <w:right w:w="15" w:type="dxa"/>
            </w:tcMar>
            <w:vAlign w:val="center"/>
            <w:hideMark/>
          </w:tcPr>
          <w:p w14:paraId="0E501BD0" w14:textId="77777777" w:rsidR="00373E07" w:rsidRPr="00F44CE1" w:rsidRDefault="00373E07" w:rsidP="00F44CE1">
            <w:pPr>
              <w:rPr>
                <w:rFonts w:ascii="Segoe UI" w:hAnsi="Segoe UI"/>
              </w:rPr>
            </w:pPr>
            <w:r w:rsidRPr="00F44CE1">
              <w:rPr>
                <w:rFonts w:ascii="Segoe UI" w:hAnsi="Segoe UI"/>
              </w:rPr>
              <w:t>plocha hladiny vsakovacího zařízení (jen u povrchových vsakovacích zařízení)</w:t>
            </w:r>
          </w:p>
        </w:tc>
      </w:tr>
      <w:tr w:rsidR="00373E07" w:rsidRPr="003D5EFE" w14:paraId="59F1491D" w14:textId="77777777" w:rsidTr="00F44CE1">
        <w:trPr>
          <w:tblCellSpacing w:w="15" w:type="dxa"/>
        </w:trPr>
        <w:tc>
          <w:tcPr>
            <w:tcW w:w="476" w:type="dxa"/>
            <w:tcMar>
              <w:top w:w="15" w:type="dxa"/>
              <w:left w:w="15" w:type="dxa"/>
              <w:bottom w:w="15" w:type="dxa"/>
              <w:right w:w="15" w:type="dxa"/>
            </w:tcMar>
            <w:vAlign w:val="center"/>
            <w:hideMark/>
          </w:tcPr>
          <w:p w14:paraId="0106BD2A" w14:textId="77777777" w:rsidR="00373E07" w:rsidRPr="00F44CE1" w:rsidRDefault="00373E07">
            <w:pPr>
              <w:rPr>
                <w:rFonts w:ascii="Segoe UI" w:hAnsi="Segoe UI"/>
              </w:rPr>
            </w:pPr>
            <w:r w:rsidRPr="00F44CE1">
              <w:rPr>
                <w:rFonts w:ascii="Segoe UI" w:hAnsi="Segoe UI"/>
              </w:rPr>
              <w:t>Q</w:t>
            </w:r>
            <w:r w:rsidRPr="00F44CE1">
              <w:rPr>
                <w:rFonts w:ascii="Segoe UI" w:hAnsi="Segoe UI"/>
                <w:vertAlign w:val="subscript"/>
              </w:rPr>
              <w:t>p</w:t>
            </w:r>
          </w:p>
        </w:tc>
        <w:tc>
          <w:tcPr>
            <w:tcW w:w="2001" w:type="dxa"/>
            <w:tcMar>
              <w:top w:w="15" w:type="dxa"/>
              <w:left w:w="15" w:type="dxa"/>
              <w:bottom w:w="15" w:type="dxa"/>
              <w:right w:w="15" w:type="dxa"/>
            </w:tcMar>
            <w:vAlign w:val="center"/>
            <w:hideMark/>
          </w:tcPr>
          <w:p w14:paraId="7A93AD33" w14:textId="77777777" w:rsidR="00373E07" w:rsidRPr="00F44CE1" w:rsidRDefault="00373E07">
            <w:pPr>
              <w:rPr>
                <w:rFonts w:ascii="Segoe UI" w:hAnsi="Segoe UI"/>
              </w:rPr>
            </w:pPr>
            <w:r w:rsidRPr="00F44CE1">
              <w:rPr>
                <w:rFonts w:ascii="Segoe UI" w:hAnsi="Segoe UI"/>
              </w:rPr>
              <w:t>0 m</w:t>
            </w:r>
            <w:r w:rsidRPr="00F44CE1">
              <w:rPr>
                <w:rFonts w:ascii="Segoe UI" w:hAnsi="Segoe UI" w:cs="Segoe UI"/>
                <w:vertAlign w:val="superscript"/>
              </w:rPr>
              <w:t>3</w:t>
            </w:r>
            <w:r w:rsidRPr="00F44CE1">
              <w:rPr>
                <w:rFonts w:ascii="Segoe UI" w:hAnsi="Segoe UI"/>
              </w:rPr>
              <w:t>.s</w:t>
            </w:r>
            <w:r w:rsidRPr="00F44CE1">
              <w:rPr>
                <w:rFonts w:ascii="Segoe UI" w:hAnsi="Segoe UI" w:cs="Segoe UI"/>
                <w:vertAlign w:val="superscript"/>
              </w:rPr>
              <w:t>-1</w:t>
            </w:r>
          </w:p>
        </w:tc>
        <w:tc>
          <w:tcPr>
            <w:tcW w:w="6474" w:type="dxa"/>
            <w:tcMar>
              <w:top w:w="15" w:type="dxa"/>
              <w:left w:w="15" w:type="dxa"/>
              <w:bottom w:w="15" w:type="dxa"/>
              <w:right w:w="15" w:type="dxa"/>
            </w:tcMar>
            <w:vAlign w:val="center"/>
            <w:hideMark/>
          </w:tcPr>
          <w:p w14:paraId="0E687F88" w14:textId="77777777" w:rsidR="00373E07" w:rsidRPr="00F44CE1" w:rsidRDefault="00373E07">
            <w:pPr>
              <w:rPr>
                <w:rFonts w:ascii="Segoe UI" w:hAnsi="Segoe UI"/>
              </w:rPr>
            </w:pPr>
            <w:r w:rsidRPr="00F44CE1">
              <w:rPr>
                <w:rFonts w:ascii="Segoe UI" w:hAnsi="Segoe UI"/>
              </w:rPr>
              <w:t>jiný přítok</w:t>
            </w:r>
          </w:p>
        </w:tc>
      </w:tr>
      <w:tr w:rsidR="00373E07" w:rsidRPr="003D5EFE" w14:paraId="2D805B13" w14:textId="77777777" w:rsidTr="00F44CE1">
        <w:trPr>
          <w:tblCellSpacing w:w="15" w:type="dxa"/>
        </w:trPr>
        <w:tc>
          <w:tcPr>
            <w:tcW w:w="476" w:type="dxa"/>
            <w:tcMar>
              <w:top w:w="15" w:type="dxa"/>
              <w:left w:w="15" w:type="dxa"/>
              <w:bottom w:w="15" w:type="dxa"/>
              <w:right w:w="15" w:type="dxa"/>
            </w:tcMar>
            <w:vAlign w:val="center"/>
            <w:hideMark/>
          </w:tcPr>
          <w:p w14:paraId="188ECD08" w14:textId="77777777" w:rsidR="00373E07" w:rsidRPr="00F44CE1" w:rsidRDefault="00373E07">
            <w:pPr>
              <w:rPr>
                <w:rFonts w:ascii="Segoe UI" w:hAnsi="Segoe UI"/>
              </w:rPr>
            </w:pPr>
            <w:r w:rsidRPr="00F44CE1">
              <w:rPr>
                <w:rFonts w:ascii="Segoe UI" w:hAnsi="Segoe UI" w:cs="Segoe UI"/>
                <w:i/>
                <w:iCs/>
              </w:rPr>
              <w:t>p</w:t>
            </w:r>
          </w:p>
        </w:tc>
        <w:tc>
          <w:tcPr>
            <w:tcW w:w="2001" w:type="dxa"/>
            <w:tcMar>
              <w:top w:w="15" w:type="dxa"/>
              <w:left w:w="15" w:type="dxa"/>
              <w:bottom w:w="15" w:type="dxa"/>
              <w:right w:w="15" w:type="dxa"/>
            </w:tcMar>
            <w:vAlign w:val="center"/>
            <w:hideMark/>
          </w:tcPr>
          <w:p w14:paraId="395C6A2C" w14:textId="77777777" w:rsidR="00373E07" w:rsidRPr="00F44CE1" w:rsidRDefault="00373E07">
            <w:pPr>
              <w:rPr>
                <w:rFonts w:ascii="Segoe UI" w:hAnsi="Segoe UI"/>
              </w:rPr>
            </w:pPr>
            <w:r w:rsidRPr="00F44CE1">
              <w:rPr>
                <w:rFonts w:ascii="Segoe UI" w:hAnsi="Segoe UI"/>
              </w:rPr>
              <w:t>0.2 rok</w:t>
            </w:r>
            <w:r w:rsidRPr="00F44CE1">
              <w:rPr>
                <w:rFonts w:ascii="Segoe UI" w:hAnsi="Segoe UI" w:cs="Segoe UI"/>
                <w:vertAlign w:val="superscript"/>
              </w:rPr>
              <w:t>-1</w:t>
            </w:r>
            <w:r w:rsidRPr="00F44CE1">
              <w:rPr>
                <w:rFonts w:ascii="Segoe UI" w:hAnsi="Segoe UI"/>
              </w:rPr>
              <w:t xml:space="preserve"> </w:t>
            </w:r>
          </w:p>
        </w:tc>
        <w:tc>
          <w:tcPr>
            <w:tcW w:w="6474" w:type="dxa"/>
            <w:tcMar>
              <w:top w:w="15" w:type="dxa"/>
              <w:left w:w="15" w:type="dxa"/>
              <w:bottom w:w="15" w:type="dxa"/>
              <w:right w:w="15" w:type="dxa"/>
            </w:tcMar>
            <w:vAlign w:val="center"/>
            <w:hideMark/>
          </w:tcPr>
          <w:p w14:paraId="2961F1A7" w14:textId="77777777" w:rsidR="00373E07" w:rsidRPr="00F44CE1" w:rsidRDefault="00373E07">
            <w:pPr>
              <w:rPr>
                <w:rFonts w:ascii="Segoe UI" w:hAnsi="Segoe UI"/>
              </w:rPr>
            </w:pPr>
            <w:r w:rsidRPr="00F44CE1">
              <w:rPr>
                <w:rFonts w:ascii="Segoe UI" w:hAnsi="Segoe UI"/>
              </w:rPr>
              <w:t>periodicita srážek</w:t>
            </w:r>
          </w:p>
        </w:tc>
      </w:tr>
      <w:tr w:rsidR="00373E07" w:rsidRPr="003D5EFE" w14:paraId="2BC48360" w14:textId="77777777" w:rsidTr="00F44CE1">
        <w:trPr>
          <w:tblCellSpacing w:w="15" w:type="dxa"/>
        </w:trPr>
        <w:tc>
          <w:tcPr>
            <w:tcW w:w="476" w:type="dxa"/>
            <w:tcMar>
              <w:top w:w="15" w:type="dxa"/>
              <w:left w:w="15" w:type="dxa"/>
              <w:bottom w:w="15" w:type="dxa"/>
              <w:right w:w="15" w:type="dxa"/>
            </w:tcMar>
            <w:vAlign w:val="center"/>
            <w:hideMark/>
          </w:tcPr>
          <w:p w14:paraId="3032C5B7" w14:textId="77777777" w:rsidR="00373E07" w:rsidRPr="00F44CE1" w:rsidRDefault="00373E07">
            <w:pPr>
              <w:rPr>
                <w:rFonts w:ascii="Segoe UI" w:hAnsi="Segoe UI"/>
              </w:rPr>
            </w:pPr>
            <w:r w:rsidRPr="00F44CE1">
              <w:rPr>
                <w:rFonts w:ascii="Segoe UI" w:hAnsi="Segoe UI"/>
              </w:rPr>
              <w:t>k</w:t>
            </w:r>
            <w:r w:rsidRPr="00F44CE1">
              <w:rPr>
                <w:rFonts w:ascii="Segoe UI" w:hAnsi="Segoe UI"/>
                <w:vertAlign w:val="subscript"/>
              </w:rPr>
              <w:t>v</w:t>
            </w:r>
          </w:p>
        </w:tc>
        <w:tc>
          <w:tcPr>
            <w:tcW w:w="2001" w:type="dxa"/>
            <w:tcMar>
              <w:top w:w="15" w:type="dxa"/>
              <w:left w:w="15" w:type="dxa"/>
              <w:bottom w:w="15" w:type="dxa"/>
              <w:right w:w="15" w:type="dxa"/>
            </w:tcMar>
            <w:vAlign w:val="center"/>
            <w:hideMark/>
          </w:tcPr>
          <w:p w14:paraId="26D7C0D8" w14:textId="77777777" w:rsidR="00373E07" w:rsidRPr="00F44CE1" w:rsidRDefault="00373E07">
            <w:pPr>
              <w:rPr>
                <w:rFonts w:ascii="Segoe UI" w:hAnsi="Segoe UI"/>
              </w:rPr>
            </w:pPr>
            <w:r w:rsidRPr="00F44CE1">
              <w:rPr>
                <w:rFonts w:ascii="Segoe UI" w:hAnsi="Segoe UI"/>
              </w:rPr>
              <w:t>0.00000500</w:t>
            </w:r>
          </w:p>
          <w:p w14:paraId="3E0DDD42" w14:textId="77777777" w:rsidR="00373E07" w:rsidRPr="00F44CE1" w:rsidRDefault="00373E07">
            <w:pPr>
              <w:rPr>
                <w:rFonts w:ascii="Segoe UI" w:hAnsi="Segoe UI"/>
              </w:rPr>
            </w:pPr>
            <w:r w:rsidRPr="00F44CE1">
              <w:rPr>
                <w:rFonts w:ascii="Segoe UI" w:hAnsi="Segoe UI"/>
              </w:rPr>
              <w:t>m.s</w:t>
            </w:r>
            <w:r w:rsidRPr="00F44CE1">
              <w:rPr>
                <w:rFonts w:ascii="Segoe UI" w:hAnsi="Segoe UI" w:cs="Segoe UI"/>
                <w:vertAlign w:val="superscript"/>
              </w:rPr>
              <w:t>-1</w:t>
            </w:r>
          </w:p>
        </w:tc>
        <w:tc>
          <w:tcPr>
            <w:tcW w:w="6474" w:type="dxa"/>
            <w:tcMar>
              <w:top w:w="15" w:type="dxa"/>
              <w:left w:w="15" w:type="dxa"/>
              <w:bottom w:w="15" w:type="dxa"/>
              <w:right w:w="15" w:type="dxa"/>
            </w:tcMar>
            <w:vAlign w:val="center"/>
            <w:hideMark/>
          </w:tcPr>
          <w:p w14:paraId="34EE0F0F" w14:textId="77777777" w:rsidR="00373E07" w:rsidRPr="00F44CE1" w:rsidRDefault="00373E07">
            <w:pPr>
              <w:rPr>
                <w:rFonts w:ascii="Segoe UI" w:hAnsi="Segoe UI"/>
              </w:rPr>
            </w:pPr>
            <w:r w:rsidRPr="00F44CE1">
              <w:rPr>
                <w:rFonts w:ascii="Segoe UI" w:hAnsi="Segoe UI"/>
              </w:rPr>
              <w:t>koeficient vsaku</w:t>
            </w:r>
          </w:p>
        </w:tc>
      </w:tr>
      <w:tr w:rsidR="00373E07" w:rsidRPr="003D5EFE" w14:paraId="79B88033" w14:textId="77777777" w:rsidTr="00F44CE1">
        <w:trPr>
          <w:tblCellSpacing w:w="15" w:type="dxa"/>
        </w:trPr>
        <w:tc>
          <w:tcPr>
            <w:tcW w:w="476" w:type="dxa"/>
            <w:tcMar>
              <w:top w:w="15" w:type="dxa"/>
              <w:left w:w="15" w:type="dxa"/>
              <w:bottom w:w="15" w:type="dxa"/>
              <w:right w:w="15" w:type="dxa"/>
            </w:tcMar>
            <w:vAlign w:val="center"/>
            <w:hideMark/>
          </w:tcPr>
          <w:p w14:paraId="2CF0B3F2" w14:textId="77777777" w:rsidR="00373E07" w:rsidRPr="00F44CE1" w:rsidRDefault="00373E07">
            <w:pPr>
              <w:rPr>
                <w:rFonts w:ascii="Segoe UI" w:hAnsi="Segoe UI"/>
              </w:rPr>
            </w:pPr>
            <w:r w:rsidRPr="00F44CE1">
              <w:rPr>
                <w:rFonts w:ascii="Segoe UI" w:hAnsi="Segoe UI" w:cs="Segoe UI"/>
                <w:i/>
                <w:iCs/>
              </w:rPr>
              <w:t>f</w:t>
            </w:r>
          </w:p>
        </w:tc>
        <w:tc>
          <w:tcPr>
            <w:tcW w:w="2001" w:type="dxa"/>
            <w:tcMar>
              <w:top w:w="15" w:type="dxa"/>
              <w:left w:w="15" w:type="dxa"/>
              <w:bottom w:w="15" w:type="dxa"/>
              <w:right w:w="15" w:type="dxa"/>
            </w:tcMar>
            <w:vAlign w:val="center"/>
            <w:hideMark/>
          </w:tcPr>
          <w:p w14:paraId="29341BFD" w14:textId="77777777" w:rsidR="00373E07" w:rsidRPr="00F44CE1" w:rsidRDefault="00373E07">
            <w:pPr>
              <w:rPr>
                <w:rFonts w:ascii="Segoe UI" w:hAnsi="Segoe UI"/>
              </w:rPr>
            </w:pPr>
            <w:r w:rsidRPr="00F44CE1">
              <w:rPr>
                <w:rFonts w:ascii="Segoe UI" w:hAnsi="Segoe UI"/>
              </w:rPr>
              <w:t>2</w:t>
            </w:r>
          </w:p>
        </w:tc>
        <w:tc>
          <w:tcPr>
            <w:tcW w:w="6474" w:type="dxa"/>
            <w:tcMar>
              <w:top w:w="15" w:type="dxa"/>
              <w:left w:w="15" w:type="dxa"/>
              <w:bottom w:w="15" w:type="dxa"/>
              <w:right w:w="15" w:type="dxa"/>
            </w:tcMar>
            <w:vAlign w:val="center"/>
            <w:hideMark/>
          </w:tcPr>
          <w:p w14:paraId="4F2280EA" w14:textId="77777777" w:rsidR="00373E07" w:rsidRPr="00F44CE1" w:rsidRDefault="00373E07">
            <w:pPr>
              <w:rPr>
                <w:rFonts w:ascii="Segoe UI" w:hAnsi="Segoe UI"/>
              </w:rPr>
            </w:pPr>
            <w:r w:rsidRPr="00F44CE1">
              <w:rPr>
                <w:rFonts w:ascii="Segoe UI" w:hAnsi="Segoe UI"/>
              </w:rPr>
              <w:t>součinitel bezpečnosti vsaku</w:t>
            </w:r>
          </w:p>
        </w:tc>
      </w:tr>
      <w:tr w:rsidR="00373E07" w:rsidRPr="003D5EFE" w14:paraId="21D706EA" w14:textId="77777777" w:rsidTr="00F44CE1">
        <w:trPr>
          <w:tblCellSpacing w:w="15" w:type="dxa"/>
        </w:trPr>
        <w:tc>
          <w:tcPr>
            <w:tcW w:w="476" w:type="dxa"/>
            <w:tcMar>
              <w:top w:w="15" w:type="dxa"/>
              <w:left w:w="15" w:type="dxa"/>
              <w:bottom w:w="15" w:type="dxa"/>
              <w:right w:w="15" w:type="dxa"/>
            </w:tcMar>
            <w:vAlign w:val="center"/>
            <w:hideMark/>
          </w:tcPr>
          <w:p w14:paraId="361B13A6" w14:textId="77777777" w:rsidR="00373E07" w:rsidRPr="00F44CE1" w:rsidRDefault="00373E07">
            <w:pPr>
              <w:rPr>
                <w:rFonts w:ascii="Segoe UI" w:hAnsi="Segoe UI"/>
              </w:rPr>
            </w:pPr>
            <w:r w:rsidRPr="00F44CE1">
              <w:rPr>
                <w:rFonts w:ascii="Segoe UI" w:hAnsi="Segoe UI"/>
              </w:rPr>
              <w:t>Q</w:t>
            </w:r>
            <w:r w:rsidRPr="00F44CE1">
              <w:rPr>
                <w:rFonts w:ascii="Segoe UI" w:hAnsi="Segoe UI"/>
                <w:vertAlign w:val="subscript"/>
              </w:rPr>
              <w:t>o</w:t>
            </w:r>
          </w:p>
        </w:tc>
        <w:tc>
          <w:tcPr>
            <w:tcW w:w="2001" w:type="dxa"/>
            <w:tcMar>
              <w:top w:w="15" w:type="dxa"/>
              <w:left w:w="15" w:type="dxa"/>
              <w:bottom w:w="15" w:type="dxa"/>
              <w:right w:w="15" w:type="dxa"/>
            </w:tcMar>
            <w:vAlign w:val="center"/>
            <w:hideMark/>
          </w:tcPr>
          <w:p w14:paraId="47CD892B" w14:textId="77777777" w:rsidR="00373E07" w:rsidRPr="00F44CE1" w:rsidRDefault="00373E07">
            <w:pPr>
              <w:rPr>
                <w:rFonts w:ascii="Segoe UI" w:hAnsi="Segoe UI"/>
              </w:rPr>
            </w:pPr>
            <w:r w:rsidRPr="00F44CE1">
              <w:rPr>
                <w:rFonts w:ascii="Segoe UI" w:hAnsi="Segoe UI"/>
              </w:rPr>
              <w:t>0 m</w:t>
            </w:r>
            <w:r w:rsidRPr="00F44CE1">
              <w:rPr>
                <w:rFonts w:ascii="Segoe UI" w:hAnsi="Segoe UI" w:cs="Segoe UI"/>
                <w:vertAlign w:val="superscript"/>
              </w:rPr>
              <w:t>3</w:t>
            </w:r>
            <w:r w:rsidRPr="00F44CE1">
              <w:rPr>
                <w:rFonts w:ascii="Segoe UI" w:hAnsi="Segoe UI"/>
              </w:rPr>
              <w:t>.s</w:t>
            </w:r>
            <w:r w:rsidRPr="00F44CE1">
              <w:rPr>
                <w:rFonts w:ascii="Segoe UI" w:hAnsi="Segoe UI" w:cs="Segoe UI"/>
                <w:vertAlign w:val="superscript"/>
              </w:rPr>
              <w:t>-1</w:t>
            </w:r>
          </w:p>
        </w:tc>
        <w:tc>
          <w:tcPr>
            <w:tcW w:w="6474" w:type="dxa"/>
            <w:tcMar>
              <w:top w:w="15" w:type="dxa"/>
              <w:left w:w="15" w:type="dxa"/>
              <w:bottom w:w="15" w:type="dxa"/>
              <w:right w:w="15" w:type="dxa"/>
            </w:tcMar>
            <w:vAlign w:val="center"/>
            <w:hideMark/>
          </w:tcPr>
          <w:p w14:paraId="33140380" w14:textId="77777777" w:rsidR="00373E07" w:rsidRPr="00F44CE1" w:rsidRDefault="00373E07">
            <w:pPr>
              <w:rPr>
                <w:rFonts w:ascii="Segoe UI" w:hAnsi="Segoe UI"/>
              </w:rPr>
            </w:pPr>
            <w:r w:rsidRPr="00F44CE1">
              <w:rPr>
                <w:rFonts w:ascii="Segoe UI" w:hAnsi="Segoe UI"/>
              </w:rPr>
              <w:t>regulovaný odtok</w:t>
            </w:r>
          </w:p>
        </w:tc>
      </w:tr>
      <w:tr w:rsidR="00373E07" w:rsidRPr="003D5EFE" w14:paraId="1C1EA36F" w14:textId="77777777" w:rsidTr="00F44CE1">
        <w:trPr>
          <w:tblCellSpacing w:w="15" w:type="dxa"/>
        </w:trPr>
        <w:tc>
          <w:tcPr>
            <w:tcW w:w="476" w:type="dxa"/>
            <w:tcMar>
              <w:top w:w="15" w:type="dxa"/>
              <w:left w:w="15" w:type="dxa"/>
              <w:bottom w:w="15" w:type="dxa"/>
              <w:right w:w="15" w:type="dxa"/>
            </w:tcMar>
            <w:vAlign w:val="center"/>
            <w:hideMark/>
          </w:tcPr>
          <w:p w14:paraId="51310870" w14:textId="77777777" w:rsidR="00373E07" w:rsidRPr="00F44CE1" w:rsidRDefault="00373E07">
            <w:pPr>
              <w:rPr>
                <w:rFonts w:ascii="Segoe UI" w:hAnsi="Segoe UI"/>
              </w:rPr>
            </w:pPr>
            <w:r w:rsidRPr="00F44CE1">
              <w:rPr>
                <w:rFonts w:ascii="Segoe UI" w:hAnsi="Segoe UI"/>
                <w:b/>
                <w:bCs/>
              </w:rPr>
              <w:t>A</w:t>
            </w:r>
            <w:r w:rsidRPr="00F44CE1">
              <w:rPr>
                <w:rFonts w:ascii="Segoe UI" w:hAnsi="Segoe UI"/>
                <w:b/>
                <w:bCs/>
                <w:vertAlign w:val="subscript"/>
              </w:rPr>
              <w:t>vsak</w:t>
            </w:r>
          </w:p>
        </w:tc>
        <w:tc>
          <w:tcPr>
            <w:tcW w:w="2001" w:type="dxa"/>
            <w:tcMar>
              <w:top w:w="15" w:type="dxa"/>
              <w:left w:w="15" w:type="dxa"/>
              <w:bottom w:w="15" w:type="dxa"/>
              <w:right w:w="15" w:type="dxa"/>
            </w:tcMar>
            <w:vAlign w:val="center"/>
            <w:hideMark/>
          </w:tcPr>
          <w:p w14:paraId="611D8AD3" w14:textId="77777777" w:rsidR="00373E07" w:rsidRPr="00F44CE1" w:rsidRDefault="00373E07">
            <w:pPr>
              <w:rPr>
                <w:rFonts w:ascii="Segoe UI" w:hAnsi="Segoe UI"/>
              </w:rPr>
            </w:pPr>
            <w:r w:rsidRPr="00F44CE1">
              <w:rPr>
                <w:rFonts w:ascii="Segoe UI" w:hAnsi="Segoe UI"/>
                <w:b/>
                <w:bCs/>
              </w:rPr>
              <w:t>10 m</w:t>
            </w:r>
            <w:r w:rsidRPr="00F44CE1">
              <w:rPr>
                <w:rFonts w:ascii="Segoe UI" w:hAnsi="Segoe UI" w:cs="Segoe UI"/>
                <w:b/>
                <w:bCs/>
                <w:vertAlign w:val="superscript"/>
              </w:rPr>
              <w:t>2</w:t>
            </w:r>
          </w:p>
        </w:tc>
        <w:tc>
          <w:tcPr>
            <w:tcW w:w="6474" w:type="dxa"/>
            <w:tcMar>
              <w:top w:w="15" w:type="dxa"/>
              <w:left w:w="15" w:type="dxa"/>
              <w:bottom w:w="15" w:type="dxa"/>
              <w:right w:w="15" w:type="dxa"/>
            </w:tcMar>
            <w:vAlign w:val="center"/>
            <w:hideMark/>
          </w:tcPr>
          <w:p w14:paraId="4563AE33" w14:textId="77777777" w:rsidR="00373E07" w:rsidRPr="00F44CE1" w:rsidRDefault="00373E07">
            <w:pPr>
              <w:rPr>
                <w:rFonts w:ascii="Segoe UI" w:hAnsi="Segoe UI"/>
              </w:rPr>
            </w:pPr>
            <w:r w:rsidRPr="00F44CE1">
              <w:rPr>
                <w:rFonts w:ascii="Segoe UI" w:hAnsi="Segoe UI"/>
                <w:b/>
                <w:bCs/>
              </w:rPr>
              <w:t>velikost vsakovací plochy</w:t>
            </w:r>
          </w:p>
        </w:tc>
      </w:tr>
      <w:tr w:rsidR="00373E07" w:rsidRPr="003D5EFE" w14:paraId="20B9400D" w14:textId="77777777" w:rsidTr="00F44CE1">
        <w:trPr>
          <w:tblCellSpacing w:w="15" w:type="dxa"/>
        </w:trPr>
        <w:tc>
          <w:tcPr>
            <w:tcW w:w="476" w:type="dxa"/>
            <w:tcMar>
              <w:top w:w="15" w:type="dxa"/>
              <w:left w:w="15" w:type="dxa"/>
              <w:bottom w:w="15" w:type="dxa"/>
              <w:right w:w="15" w:type="dxa"/>
            </w:tcMar>
            <w:vAlign w:val="center"/>
            <w:hideMark/>
          </w:tcPr>
          <w:p w14:paraId="5E70A90C" w14:textId="77777777" w:rsidR="00373E07" w:rsidRPr="00F44CE1" w:rsidRDefault="00373E07">
            <w:pPr>
              <w:rPr>
                <w:rFonts w:ascii="Segoe UI" w:hAnsi="Segoe UI"/>
              </w:rPr>
            </w:pPr>
            <w:r w:rsidRPr="00F44CE1">
              <w:rPr>
                <w:rFonts w:ascii="Segoe UI" w:hAnsi="Segoe UI"/>
              </w:rPr>
              <w:t>h</w:t>
            </w:r>
            <w:r w:rsidRPr="00F44CE1">
              <w:rPr>
                <w:rFonts w:ascii="Segoe UI" w:hAnsi="Segoe UI" w:cs="Segoe UI"/>
                <w:vertAlign w:val="subscript"/>
              </w:rPr>
              <w:t>d</w:t>
            </w:r>
          </w:p>
        </w:tc>
        <w:tc>
          <w:tcPr>
            <w:tcW w:w="2001" w:type="dxa"/>
            <w:tcMar>
              <w:top w:w="15" w:type="dxa"/>
              <w:left w:w="15" w:type="dxa"/>
              <w:bottom w:w="15" w:type="dxa"/>
              <w:right w:w="15" w:type="dxa"/>
            </w:tcMar>
            <w:vAlign w:val="center"/>
            <w:hideMark/>
          </w:tcPr>
          <w:p w14:paraId="23121564" w14:textId="77777777" w:rsidR="00373E07" w:rsidRPr="00F44CE1" w:rsidRDefault="00373E07">
            <w:pPr>
              <w:rPr>
                <w:rFonts w:ascii="Segoe UI" w:hAnsi="Segoe UI"/>
              </w:rPr>
            </w:pPr>
            <w:r w:rsidRPr="00F44CE1">
              <w:rPr>
                <w:rFonts w:ascii="Segoe UI" w:hAnsi="Segoe UI"/>
              </w:rPr>
              <w:t>39.0 mm</w:t>
            </w:r>
          </w:p>
        </w:tc>
        <w:tc>
          <w:tcPr>
            <w:tcW w:w="6474" w:type="dxa"/>
            <w:tcMar>
              <w:top w:w="15" w:type="dxa"/>
              <w:left w:w="15" w:type="dxa"/>
              <w:bottom w:w="15" w:type="dxa"/>
              <w:right w:w="15" w:type="dxa"/>
            </w:tcMar>
            <w:vAlign w:val="center"/>
            <w:hideMark/>
          </w:tcPr>
          <w:p w14:paraId="07CB639D" w14:textId="77777777" w:rsidR="00373E07" w:rsidRPr="00F44CE1" w:rsidRDefault="00373E07">
            <w:pPr>
              <w:rPr>
                <w:rFonts w:ascii="Segoe UI" w:hAnsi="Segoe UI"/>
              </w:rPr>
            </w:pPr>
            <w:r w:rsidRPr="00F44CE1">
              <w:rPr>
                <w:rFonts w:ascii="Segoe UI" w:hAnsi="Segoe UI"/>
              </w:rPr>
              <w:t>návrhový úhrn srážek</w:t>
            </w:r>
          </w:p>
        </w:tc>
      </w:tr>
      <w:tr w:rsidR="00373E07" w:rsidRPr="003D5EFE" w14:paraId="1A37851B" w14:textId="77777777" w:rsidTr="00F44CE1">
        <w:trPr>
          <w:tblCellSpacing w:w="15" w:type="dxa"/>
        </w:trPr>
        <w:tc>
          <w:tcPr>
            <w:tcW w:w="476" w:type="dxa"/>
            <w:tcMar>
              <w:top w:w="15" w:type="dxa"/>
              <w:left w:w="15" w:type="dxa"/>
              <w:bottom w:w="15" w:type="dxa"/>
              <w:right w:w="15" w:type="dxa"/>
            </w:tcMar>
            <w:vAlign w:val="center"/>
            <w:hideMark/>
          </w:tcPr>
          <w:p w14:paraId="7DDAE72B" w14:textId="77777777" w:rsidR="00373E07" w:rsidRPr="00F44CE1" w:rsidRDefault="00373E07">
            <w:pPr>
              <w:rPr>
                <w:rFonts w:ascii="Segoe UI" w:hAnsi="Segoe UI" w:cs="Segoe UI"/>
              </w:rPr>
            </w:pPr>
            <w:r w:rsidRPr="00F44CE1">
              <w:rPr>
                <w:rFonts w:ascii="Segoe UI" w:hAnsi="Segoe UI" w:cs="Segoe UI"/>
                <w:i/>
                <w:iCs/>
              </w:rPr>
              <w:t>t</w:t>
            </w:r>
            <w:r w:rsidRPr="00F44CE1">
              <w:rPr>
                <w:rFonts w:ascii="Segoe UI" w:hAnsi="Segoe UI" w:cs="Segoe UI"/>
                <w:i/>
                <w:iCs/>
                <w:vertAlign w:val="subscript"/>
              </w:rPr>
              <w:t>c</w:t>
            </w:r>
          </w:p>
        </w:tc>
        <w:tc>
          <w:tcPr>
            <w:tcW w:w="2001" w:type="dxa"/>
            <w:tcMar>
              <w:top w:w="15" w:type="dxa"/>
              <w:left w:w="15" w:type="dxa"/>
              <w:bottom w:w="15" w:type="dxa"/>
              <w:right w:w="15" w:type="dxa"/>
            </w:tcMar>
            <w:vAlign w:val="center"/>
            <w:hideMark/>
          </w:tcPr>
          <w:p w14:paraId="51E36284" w14:textId="77777777" w:rsidR="00373E07" w:rsidRPr="00F44CE1" w:rsidRDefault="00373E07">
            <w:pPr>
              <w:rPr>
                <w:rFonts w:ascii="Segoe UI" w:hAnsi="Segoe UI" w:cs="Segoe UI"/>
              </w:rPr>
            </w:pPr>
            <w:r w:rsidRPr="00F44CE1">
              <w:rPr>
                <w:rFonts w:ascii="Segoe UI" w:hAnsi="Segoe UI" w:cs="Segoe UI"/>
              </w:rPr>
              <w:t>600 min</w:t>
            </w:r>
          </w:p>
        </w:tc>
        <w:tc>
          <w:tcPr>
            <w:tcW w:w="6474" w:type="dxa"/>
            <w:tcMar>
              <w:top w:w="15" w:type="dxa"/>
              <w:left w:w="15" w:type="dxa"/>
              <w:bottom w:w="15" w:type="dxa"/>
              <w:right w:w="15" w:type="dxa"/>
            </w:tcMar>
            <w:vAlign w:val="center"/>
            <w:hideMark/>
          </w:tcPr>
          <w:p w14:paraId="1B475293" w14:textId="77777777" w:rsidR="00373E07" w:rsidRPr="00F44CE1" w:rsidRDefault="00373E07">
            <w:pPr>
              <w:rPr>
                <w:rFonts w:ascii="Segoe UI" w:hAnsi="Segoe UI" w:cs="Segoe UI"/>
              </w:rPr>
            </w:pPr>
            <w:r w:rsidRPr="00F44CE1">
              <w:rPr>
                <w:rFonts w:ascii="Segoe UI" w:hAnsi="Segoe UI" w:cs="Segoe UI"/>
              </w:rPr>
              <w:t>doba trvání srážky</w:t>
            </w:r>
          </w:p>
        </w:tc>
      </w:tr>
      <w:tr w:rsidR="00373E07" w:rsidRPr="003D5EFE" w14:paraId="3377FE07" w14:textId="77777777" w:rsidTr="00F44CE1">
        <w:trPr>
          <w:tblCellSpacing w:w="15" w:type="dxa"/>
        </w:trPr>
        <w:tc>
          <w:tcPr>
            <w:tcW w:w="476" w:type="dxa"/>
            <w:tcMar>
              <w:top w:w="15" w:type="dxa"/>
              <w:left w:w="15" w:type="dxa"/>
              <w:bottom w:w="15" w:type="dxa"/>
              <w:right w:w="15" w:type="dxa"/>
            </w:tcMar>
            <w:vAlign w:val="center"/>
            <w:hideMark/>
          </w:tcPr>
          <w:p w14:paraId="5EFA1D05" w14:textId="77777777" w:rsidR="00373E07" w:rsidRPr="00F44CE1" w:rsidRDefault="00373E07">
            <w:pPr>
              <w:rPr>
                <w:rFonts w:ascii="Segoe UI" w:hAnsi="Segoe UI" w:cs="Segoe UI"/>
              </w:rPr>
            </w:pPr>
            <w:r w:rsidRPr="00F44CE1">
              <w:rPr>
                <w:rFonts w:ascii="Segoe UI" w:hAnsi="Segoe UI" w:cs="Segoe UI"/>
              </w:rPr>
              <w:t>Q</w:t>
            </w:r>
            <w:r w:rsidRPr="00F44CE1">
              <w:rPr>
                <w:rFonts w:ascii="Segoe UI" w:hAnsi="Segoe UI" w:cs="Segoe UI"/>
                <w:vertAlign w:val="subscript"/>
              </w:rPr>
              <w:t>vsak</w:t>
            </w:r>
          </w:p>
        </w:tc>
        <w:tc>
          <w:tcPr>
            <w:tcW w:w="2001" w:type="dxa"/>
            <w:tcMar>
              <w:top w:w="15" w:type="dxa"/>
              <w:left w:w="15" w:type="dxa"/>
              <w:bottom w:w="15" w:type="dxa"/>
              <w:right w:w="15" w:type="dxa"/>
            </w:tcMar>
            <w:vAlign w:val="center"/>
            <w:hideMark/>
          </w:tcPr>
          <w:p w14:paraId="546A8C9A" w14:textId="13AF72FB" w:rsidR="00373E07" w:rsidRPr="00F44CE1" w:rsidRDefault="00373E07">
            <w:pPr>
              <w:rPr>
                <w:rFonts w:ascii="Segoe UI" w:hAnsi="Segoe UI" w:cs="Segoe UI"/>
              </w:rPr>
            </w:pPr>
            <w:r w:rsidRPr="00F44CE1">
              <w:rPr>
                <w:rFonts w:ascii="Segoe UI" w:hAnsi="Segoe UI" w:cs="Segoe UI"/>
              </w:rPr>
              <w:t>0.0000250 m</w:t>
            </w:r>
            <w:r w:rsidRPr="00F44CE1">
              <w:rPr>
                <w:rFonts w:ascii="Segoe UI" w:hAnsi="Segoe UI" w:cs="Segoe UI"/>
                <w:vertAlign w:val="superscript"/>
              </w:rPr>
              <w:t>3</w:t>
            </w:r>
            <w:r w:rsidRPr="00F44CE1">
              <w:rPr>
                <w:rFonts w:ascii="Segoe UI" w:hAnsi="Segoe UI" w:cs="Segoe UI"/>
              </w:rPr>
              <w:t>.s</w:t>
            </w:r>
            <w:r w:rsidRPr="00F44CE1">
              <w:rPr>
                <w:rFonts w:ascii="Segoe UI" w:hAnsi="Segoe UI" w:cs="Segoe UI"/>
                <w:vertAlign w:val="superscript"/>
              </w:rPr>
              <w:t>-1</w:t>
            </w:r>
          </w:p>
        </w:tc>
        <w:tc>
          <w:tcPr>
            <w:tcW w:w="6474" w:type="dxa"/>
            <w:tcMar>
              <w:top w:w="15" w:type="dxa"/>
              <w:left w:w="15" w:type="dxa"/>
              <w:bottom w:w="15" w:type="dxa"/>
              <w:right w:w="15" w:type="dxa"/>
            </w:tcMar>
            <w:vAlign w:val="center"/>
            <w:hideMark/>
          </w:tcPr>
          <w:p w14:paraId="16A0D780" w14:textId="77777777" w:rsidR="00373E07" w:rsidRPr="00F44CE1" w:rsidRDefault="00373E07">
            <w:pPr>
              <w:rPr>
                <w:rFonts w:ascii="Segoe UI" w:hAnsi="Segoe UI" w:cs="Segoe UI"/>
              </w:rPr>
            </w:pPr>
            <w:r w:rsidRPr="00F44CE1">
              <w:rPr>
                <w:rFonts w:ascii="Segoe UI" w:hAnsi="Segoe UI" w:cs="Segoe UI"/>
              </w:rPr>
              <w:t>vsakovaný odtok</w:t>
            </w:r>
          </w:p>
        </w:tc>
      </w:tr>
      <w:tr w:rsidR="00373E07" w:rsidRPr="003D5EFE" w14:paraId="551E341D" w14:textId="77777777" w:rsidTr="00F44CE1">
        <w:trPr>
          <w:tblCellSpacing w:w="15" w:type="dxa"/>
        </w:trPr>
        <w:tc>
          <w:tcPr>
            <w:tcW w:w="476" w:type="dxa"/>
            <w:tcMar>
              <w:top w:w="15" w:type="dxa"/>
              <w:left w:w="15" w:type="dxa"/>
              <w:bottom w:w="15" w:type="dxa"/>
              <w:right w:w="15" w:type="dxa"/>
            </w:tcMar>
            <w:vAlign w:val="center"/>
            <w:hideMark/>
          </w:tcPr>
          <w:p w14:paraId="1D5912AF" w14:textId="77777777" w:rsidR="00373E07" w:rsidRPr="00F44CE1" w:rsidRDefault="00373E07">
            <w:pPr>
              <w:rPr>
                <w:rFonts w:ascii="Segoe UI" w:hAnsi="Segoe UI" w:cs="Segoe UI"/>
                <w:sz w:val="24"/>
                <w:szCs w:val="24"/>
              </w:rPr>
            </w:pPr>
            <w:r w:rsidRPr="00F44CE1">
              <w:rPr>
                <w:rFonts w:ascii="Segoe UI" w:hAnsi="Segoe UI" w:cs="Segoe UI"/>
                <w:b/>
                <w:bCs/>
                <w:sz w:val="24"/>
                <w:szCs w:val="24"/>
              </w:rPr>
              <w:t>V</w:t>
            </w:r>
            <w:r w:rsidRPr="00F44CE1">
              <w:rPr>
                <w:rFonts w:ascii="Segoe UI" w:hAnsi="Segoe UI" w:cs="Segoe UI"/>
                <w:b/>
                <w:bCs/>
                <w:sz w:val="24"/>
                <w:szCs w:val="24"/>
                <w:vertAlign w:val="subscript"/>
              </w:rPr>
              <w:t>vz</w:t>
            </w:r>
          </w:p>
        </w:tc>
        <w:tc>
          <w:tcPr>
            <w:tcW w:w="2001" w:type="dxa"/>
            <w:tcMar>
              <w:top w:w="15" w:type="dxa"/>
              <w:left w:w="15" w:type="dxa"/>
              <w:bottom w:w="15" w:type="dxa"/>
              <w:right w:w="15" w:type="dxa"/>
            </w:tcMar>
            <w:vAlign w:val="center"/>
            <w:hideMark/>
          </w:tcPr>
          <w:p w14:paraId="7D2E89A1" w14:textId="77777777" w:rsidR="00373E07" w:rsidRPr="00F44CE1" w:rsidRDefault="00373E07">
            <w:pPr>
              <w:rPr>
                <w:rFonts w:ascii="Segoe UI" w:hAnsi="Segoe UI" w:cs="Segoe UI"/>
                <w:sz w:val="24"/>
                <w:szCs w:val="24"/>
              </w:rPr>
            </w:pPr>
            <w:r w:rsidRPr="00F44CE1">
              <w:rPr>
                <w:rFonts w:ascii="Segoe UI" w:hAnsi="Segoe UI" w:cs="Segoe UI"/>
                <w:b/>
                <w:bCs/>
                <w:sz w:val="24"/>
                <w:szCs w:val="24"/>
              </w:rPr>
              <w:t>6.2 m</w:t>
            </w:r>
            <w:r w:rsidRPr="00F44CE1">
              <w:rPr>
                <w:rFonts w:ascii="Segoe UI" w:hAnsi="Segoe UI" w:cs="Segoe UI"/>
                <w:b/>
                <w:bCs/>
                <w:sz w:val="24"/>
                <w:szCs w:val="24"/>
                <w:vertAlign w:val="superscript"/>
              </w:rPr>
              <w:t>3</w:t>
            </w:r>
          </w:p>
        </w:tc>
        <w:tc>
          <w:tcPr>
            <w:tcW w:w="6474" w:type="dxa"/>
            <w:tcMar>
              <w:top w:w="15" w:type="dxa"/>
              <w:left w:w="15" w:type="dxa"/>
              <w:bottom w:w="15" w:type="dxa"/>
              <w:right w:w="15" w:type="dxa"/>
            </w:tcMar>
            <w:vAlign w:val="center"/>
            <w:hideMark/>
          </w:tcPr>
          <w:p w14:paraId="7D62DF51" w14:textId="6CF66871" w:rsidR="00373E07" w:rsidRPr="00F44CE1" w:rsidRDefault="00373E07">
            <w:pPr>
              <w:rPr>
                <w:rFonts w:ascii="Segoe UI" w:hAnsi="Segoe UI" w:cs="Segoe UI"/>
                <w:sz w:val="24"/>
                <w:szCs w:val="24"/>
              </w:rPr>
            </w:pPr>
            <w:r w:rsidRPr="00F44CE1">
              <w:rPr>
                <w:rFonts w:ascii="Segoe UI" w:hAnsi="Segoe UI" w:cs="Segoe UI"/>
                <w:b/>
                <w:bCs/>
                <w:sz w:val="24"/>
                <w:szCs w:val="24"/>
              </w:rPr>
              <w:t>největší vypočtený retenční objem vsakovacího zařízení</w:t>
            </w:r>
            <w:r w:rsidRPr="00F44CE1">
              <w:rPr>
                <w:rFonts w:ascii="Segoe UI" w:hAnsi="Segoe UI" w:cs="Segoe UI"/>
                <w:b/>
                <w:bCs/>
                <w:sz w:val="24"/>
                <w:szCs w:val="24"/>
              </w:rPr>
              <w:br/>
              <w:t>(návrhový objem)</w:t>
            </w:r>
          </w:p>
        </w:tc>
      </w:tr>
      <w:tr w:rsidR="00373E07" w:rsidRPr="003D5EFE" w14:paraId="288074C4" w14:textId="77777777" w:rsidTr="00F44CE1">
        <w:trPr>
          <w:tblCellSpacing w:w="15" w:type="dxa"/>
        </w:trPr>
        <w:tc>
          <w:tcPr>
            <w:tcW w:w="476" w:type="dxa"/>
            <w:tcMar>
              <w:top w:w="15" w:type="dxa"/>
              <w:left w:w="15" w:type="dxa"/>
              <w:bottom w:w="15" w:type="dxa"/>
              <w:right w:w="15" w:type="dxa"/>
            </w:tcMar>
            <w:vAlign w:val="center"/>
            <w:hideMark/>
          </w:tcPr>
          <w:p w14:paraId="02C228F6" w14:textId="77777777" w:rsidR="00373E07" w:rsidRPr="00F44CE1" w:rsidRDefault="00373E07">
            <w:pPr>
              <w:rPr>
                <w:rFonts w:ascii="Segoe UI" w:hAnsi="Segoe UI" w:cs="Segoe UI"/>
                <w:sz w:val="24"/>
                <w:szCs w:val="24"/>
              </w:rPr>
            </w:pPr>
            <w:r w:rsidRPr="00F44CE1">
              <w:rPr>
                <w:rFonts w:ascii="Segoe UI" w:hAnsi="Segoe UI" w:cs="Segoe UI"/>
                <w:b/>
                <w:bCs/>
                <w:sz w:val="24"/>
                <w:szCs w:val="24"/>
              </w:rPr>
              <w:t>T</w:t>
            </w:r>
            <w:r w:rsidRPr="00F44CE1">
              <w:rPr>
                <w:rFonts w:ascii="Segoe UI" w:hAnsi="Segoe UI" w:cs="Segoe UI"/>
                <w:b/>
                <w:bCs/>
                <w:sz w:val="24"/>
                <w:szCs w:val="24"/>
                <w:vertAlign w:val="subscript"/>
              </w:rPr>
              <w:t>pr</w:t>
            </w:r>
          </w:p>
        </w:tc>
        <w:tc>
          <w:tcPr>
            <w:tcW w:w="2001" w:type="dxa"/>
            <w:tcMar>
              <w:top w:w="15" w:type="dxa"/>
              <w:left w:w="15" w:type="dxa"/>
              <w:bottom w:w="15" w:type="dxa"/>
              <w:right w:w="15" w:type="dxa"/>
            </w:tcMar>
            <w:vAlign w:val="center"/>
            <w:hideMark/>
          </w:tcPr>
          <w:p w14:paraId="6DAA1279" w14:textId="77777777" w:rsidR="00373E07" w:rsidRPr="00F44CE1" w:rsidRDefault="00373E07">
            <w:pPr>
              <w:rPr>
                <w:rFonts w:ascii="Segoe UI" w:hAnsi="Segoe UI" w:cs="Segoe UI"/>
                <w:sz w:val="24"/>
                <w:szCs w:val="24"/>
              </w:rPr>
            </w:pPr>
            <w:r w:rsidRPr="00F44CE1">
              <w:rPr>
                <w:rFonts w:ascii="Segoe UI" w:hAnsi="Segoe UI" w:cs="Segoe UI"/>
                <w:b/>
                <w:bCs/>
                <w:sz w:val="24"/>
                <w:szCs w:val="24"/>
              </w:rPr>
              <w:t>68.9 hod</w:t>
            </w:r>
          </w:p>
        </w:tc>
        <w:tc>
          <w:tcPr>
            <w:tcW w:w="6474" w:type="dxa"/>
            <w:tcMar>
              <w:top w:w="15" w:type="dxa"/>
              <w:left w:w="15" w:type="dxa"/>
              <w:bottom w:w="15" w:type="dxa"/>
              <w:right w:w="15" w:type="dxa"/>
            </w:tcMar>
            <w:vAlign w:val="center"/>
            <w:hideMark/>
          </w:tcPr>
          <w:p w14:paraId="30939323" w14:textId="18ADC170" w:rsidR="00373E07" w:rsidRPr="00F44CE1" w:rsidRDefault="00373E07">
            <w:pPr>
              <w:rPr>
                <w:rFonts w:ascii="Segoe UI" w:hAnsi="Segoe UI" w:cs="Segoe UI"/>
                <w:sz w:val="24"/>
                <w:szCs w:val="24"/>
              </w:rPr>
            </w:pPr>
            <w:r w:rsidRPr="00F44CE1">
              <w:rPr>
                <w:rFonts w:ascii="Segoe UI" w:hAnsi="Segoe UI" w:cs="Segoe UI"/>
                <w:b/>
                <w:bCs/>
                <w:sz w:val="24"/>
                <w:szCs w:val="24"/>
              </w:rPr>
              <w:t xml:space="preserve">doba prázdnění vsakovacího zařízení – VYHOVUJE </w:t>
            </w:r>
          </w:p>
        </w:tc>
      </w:tr>
    </w:tbl>
    <w:p w14:paraId="13A199B4" w14:textId="77777777" w:rsidR="00373E07" w:rsidRPr="004E62A9" w:rsidRDefault="00373E07" w:rsidP="00041ABB">
      <w:pPr>
        <w:pStyle w:val="STNORMLN-2"/>
      </w:pPr>
    </w:p>
    <w:p w14:paraId="7DC0189D" w14:textId="7B55EA14" w:rsidR="00926293" w:rsidRDefault="00373E07" w:rsidP="00041ABB">
      <w:pPr>
        <w:pStyle w:val="STNORMLN-2"/>
      </w:pPr>
      <w:r w:rsidRPr="00373E07">
        <w:t>Při výstavbě vsakovacího zařízení je bezpodmínečně nutné dodržet nejen čistý návrhový objem V</w:t>
      </w:r>
      <w:r w:rsidRPr="00041ABB">
        <w:rPr>
          <w:vertAlign w:val="subscript"/>
        </w:rPr>
        <w:t>vz</w:t>
      </w:r>
      <w:r w:rsidRPr="00373E07">
        <w:t xml:space="preserve">, ale současně také minimální velikost vsakovací plochy </w:t>
      </w:r>
      <w:r w:rsidR="00605742" w:rsidRPr="00373E07">
        <w:t>A</w:t>
      </w:r>
      <w:r w:rsidR="00605742" w:rsidRPr="00041ABB">
        <w:rPr>
          <w:vertAlign w:val="subscript"/>
        </w:rPr>
        <w:t>vsak</w:t>
      </w:r>
      <w:r w:rsidR="00605742" w:rsidRPr="00373E07">
        <w:t>!!!</w:t>
      </w:r>
    </w:p>
    <w:p w14:paraId="13A3139F" w14:textId="1C717336" w:rsidR="00373E07" w:rsidRPr="00F44CE1" w:rsidRDefault="00373E07" w:rsidP="00E35D91">
      <w:pPr>
        <w:pStyle w:val="STodrkyabc"/>
      </w:pPr>
      <w:r w:rsidRPr="00F44CE1">
        <w:t>Průměrné denní množství odváděných splaškových odpadních vod (viz výpočet potřeby vody)</w:t>
      </w:r>
    </w:p>
    <w:p w14:paraId="63FF6318" w14:textId="77777777" w:rsidR="00373E07" w:rsidRDefault="00373E07" w:rsidP="00F44CE1">
      <w:pPr>
        <w:pStyle w:val="STNORMLN-2"/>
      </w:pPr>
      <w:r>
        <w:t>Q</w:t>
      </w:r>
      <w:r>
        <w:rPr>
          <w:vertAlign w:val="subscript"/>
        </w:rPr>
        <w:t>spl</w:t>
      </w:r>
      <w:r>
        <w:t xml:space="preserve"> = 1 030</w:t>
      </w:r>
      <w:r>
        <w:rPr>
          <w:rFonts w:cs="Tahoma"/>
        </w:rPr>
        <w:t xml:space="preserve"> l / den</w:t>
      </w:r>
    </w:p>
    <w:p w14:paraId="5809E340" w14:textId="6484E0C4" w:rsidR="00926293" w:rsidRPr="00546D14" w:rsidRDefault="00373E07" w:rsidP="00E35D91">
      <w:pPr>
        <w:pStyle w:val="STNORMLN-2"/>
      </w:pPr>
      <w:r w:rsidRPr="00546D14">
        <w:t>Vodovod</w:t>
      </w:r>
    </w:p>
    <w:p w14:paraId="081B9C6E" w14:textId="672BA59E" w:rsidR="00373E07" w:rsidRDefault="00373E07" w:rsidP="00E35D91">
      <w:pPr>
        <w:pStyle w:val="STodrkyabc"/>
        <w:numPr>
          <w:ilvl w:val="0"/>
          <w:numId w:val="11"/>
        </w:numPr>
      </w:pPr>
      <w:bookmarkStart w:id="78" w:name="_Hlk17870852"/>
      <w:r>
        <w:t>Výpočet potřeby pitné vody</w:t>
      </w:r>
    </w:p>
    <w:p w14:paraId="6CF88FF4" w14:textId="77777777" w:rsidR="00373E07" w:rsidRPr="004E62A9" w:rsidRDefault="00373E07" w:rsidP="00F44CE1">
      <w:pPr>
        <w:pStyle w:val="STNORMLN-2"/>
      </w:pPr>
      <w:r w:rsidRPr="004E62A9">
        <w:t>K</w:t>
      </w:r>
      <w:r w:rsidRPr="004E62A9">
        <w:rPr>
          <w:vertAlign w:val="subscript"/>
        </w:rPr>
        <w:t>d</w:t>
      </w:r>
      <w:r w:rsidRPr="004E62A9">
        <w:t xml:space="preserve"> = 1,29 </w:t>
      </w:r>
    </w:p>
    <w:p w14:paraId="16B76F64" w14:textId="77777777" w:rsidR="00373E07" w:rsidRPr="004E62A9" w:rsidRDefault="00373E07" w:rsidP="00F44CE1">
      <w:pPr>
        <w:pStyle w:val="STNORMLN-2"/>
      </w:pPr>
      <w:r w:rsidRPr="004E62A9">
        <w:t>K</w:t>
      </w:r>
      <w:r w:rsidRPr="004E62A9">
        <w:rPr>
          <w:vertAlign w:val="subscript"/>
        </w:rPr>
        <w:t>h</w:t>
      </w:r>
      <w:r w:rsidRPr="004E62A9">
        <w:t xml:space="preserve"> = 2,3 </w:t>
      </w:r>
    </w:p>
    <w:p w14:paraId="25585D0F" w14:textId="49CBFD7C" w:rsidR="00373E07" w:rsidRPr="004E62A9" w:rsidRDefault="00373E07" w:rsidP="00041ABB">
      <w:pPr>
        <w:pStyle w:val="STNORMLN-2"/>
      </w:pPr>
      <w:r w:rsidRPr="004E62A9">
        <w:t>Bytový dům</w:t>
      </w:r>
    </w:p>
    <w:p w14:paraId="49F6DB3F" w14:textId="7478529F" w:rsidR="00373E07" w:rsidRPr="004E62A9" w:rsidRDefault="00373E07" w:rsidP="00041ABB">
      <w:pPr>
        <w:pStyle w:val="STNORMLN-2"/>
      </w:pPr>
      <w:r w:rsidRPr="004E62A9">
        <w:t>6 pokojů - 6 osob</w:t>
      </w:r>
      <w:r w:rsidRPr="004E62A9">
        <w:tab/>
      </w:r>
      <w:r w:rsidRPr="004E62A9">
        <w:tab/>
      </w:r>
      <w:r w:rsidRPr="004E62A9">
        <w:tab/>
        <w:t>160 l / os./ den</w:t>
      </w:r>
      <w:r w:rsidRPr="004E62A9">
        <w:tab/>
      </w:r>
      <w:r w:rsidRPr="004E62A9">
        <w:tab/>
        <w:t>960 l / den</w:t>
      </w:r>
    </w:p>
    <w:p w14:paraId="1E45CEB7" w14:textId="6278091A" w:rsidR="00373E07" w:rsidRPr="004E62A9" w:rsidRDefault="00373E07" w:rsidP="00041ABB">
      <w:pPr>
        <w:pStyle w:val="STNORMLN-2"/>
      </w:pPr>
      <w:r w:rsidRPr="004E62A9">
        <w:t>1 zaměstnanec</w:t>
      </w:r>
      <w:r w:rsidRPr="004E62A9">
        <w:tab/>
      </w:r>
      <w:r w:rsidRPr="004E62A9">
        <w:tab/>
      </w:r>
      <w:r w:rsidRPr="004E62A9">
        <w:tab/>
        <w:t>70 l / os./ den</w:t>
      </w:r>
      <w:r w:rsidRPr="004E62A9">
        <w:tab/>
      </w:r>
      <w:r w:rsidRPr="004E62A9">
        <w:tab/>
      </w:r>
      <w:r>
        <w:tab/>
      </w:r>
      <w:r w:rsidRPr="004E62A9">
        <w:t>70 l / den</w:t>
      </w:r>
    </w:p>
    <w:p w14:paraId="6DC203FC" w14:textId="6D1ED5EE" w:rsidR="00373E07" w:rsidRPr="004E62A9" w:rsidRDefault="00373E07" w:rsidP="00041ABB">
      <w:pPr>
        <w:pStyle w:val="STNORMLN-2"/>
      </w:pPr>
      <w:r w:rsidRPr="004E62A9">
        <w:t xml:space="preserve">Průměrná denní potřeba: </w:t>
      </w:r>
      <w:r w:rsidRPr="004E62A9">
        <w:tab/>
      </w:r>
      <w:r w:rsidRPr="004E62A9">
        <w:tab/>
        <w:t>Q</w:t>
      </w:r>
      <w:r w:rsidRPr="004E62A9">
        <w:rPr>
          <w:vertAlign w:val="subscript"/>
        </w:rPr>
        <w:t>p</w:t>
      </w:r>
      <w:r w:rsidRPr="004E62A9">
        <w:t xml:space="preserve"> = 1 030 l / den = 0,012 l / s</w:t>
      </w:r>
    </w:p>
    <w:p w14:paraId="471FBE93" w14:textId="719CDBCF" w:rsidR="00373E07" w:rsidRPr="004E62A9" w:rsidRDefault="00373E07" w:rsidP="00041ABB">
      <w:pPr>
        <w:pStyle w:val="STNORMLN-2"/>
      </w:pPr>
      <w:r w:rsidRPr="004E62A9">
        <w:t>Max. denní potřeba:</w:t>
      </w:r>
      <w:r w:rsidRPr="004E62A9">
        <w:tab/>
      </w:r>
      <w:r w:rsidRPr="004E62A9">
        <w:tab/>
      </w:r>
      <w:r>
        <w:tab/>
      </w:r>
      <w:r w:rsidRPr="004E62A9">
        <w:t>Q</w:t>
      </w:r>
      <w:r w:rsidRPr="004E62A9">
        <w:rPr>
          <w:vertAlign w:val="subscript"/>
        </w:rPr>
        <w:t>m</w:t>
      </w:r>
      <w:r w:rsidRPr="00041ABB">
        <w:t xml:space="preserve"> </w:t>
      </w:r>
      <w:r w:rsidRPr="004E62A9">
        <w:t>= 1 030 x 1,29 = 1 329 l / den</w:t>
      </w:r>
    </w:p>
    <w:p w14:paraId="27DEFA20" w14:textId="1B61BA8C" w:rsidR="00373E07" w:rsidRPr="00041ABB" w:rsidRDefault="00373E07" w:rsidP="00041ABB">
      <w:pPr>
        <w:pStyle w:val="STNORMLN-2"/>
      </w:pPr>
      <w:r w:rsidRPr="004E62A9">
        <w:t>Max. hodinová potřeba:</w:t>
      </w:r>
      <w:r w:rsidRPr="004E62A9">
        <w:tab/>
      </w:r>
      <w:r w:rsidRPr="004E62A9">
        <w:tab/>
        <w:t>Q</w:t>
      </w:r>
      <w:r w:rsidRPr="004E62A9">
        <w:rPr>
          <w:vertAlign w:val="subscript"/>
        </w:rPr>
        <w:t>h</w:t>
      </w:r>
      <w:r w:rsidRPr="004E62A9">
        <w:t xml:space="preserve"> = 1 329 / 24 x 2,3 = 128 l / hod = 0,036 l /s</w:t>
      </w:r>
    </w:p>
    <w:p w14:paraId="302E669B" w14:textId="6809C3A3" w:rsidR="00373E07" w:rsidRPr="004E62A9" w:rsidRDefault="00373E07" w:rsidP="00041ABB">
      <w:pPr>
        <w:pStyle w:val="STNORMLN-2"/>
      </w:pPr>
      <w:r w:rsidRPr="004E62A9">
        <w:t xml:space="preserve">Roční potřeba: </w:t>
      </w:r>
      <w:r w:rsidRPr="004E62A9">
        <w:tab/>
      </w:r>
      <w:r w:rsidRPr="004E62A9">
        <w:tab/>
      </w:r>
      <w:r w:rsidRPr="004E62A9">
        <w:tab/>
        <w:t>Q</w:t>
      </w:r>
      <w:r w:rsidRPr="004E62A9">
        <w:rPr>
          <w:vertAlign w:val="subscript"/>
        </w:rPr>
        <w:t>r</w:t>
      </w:r>
      <w:r w:rsidRPr="004E62A9">
        <w:t xml:space="preserve"> = 1 030 x 365 = 376 m</w:t>
      </w:r>
      <w:r w:rsidRPr="00041ABB">
        <w:t>3</w:t>
      </w:r>
      <w:r w:rsidRPr="004E62A9">
        <w:t xml:space="preserve"> / rok</w:t>
      </w:r>
    </w:p>
    <w:p w14:paraId="016922EA" w14:textId="41235FFB" w:rsidR="00373E07" w:rsidRPr="004E62A9" w:rsidRDefault="00373E07" w:rsidP="00041ABB">
      <w:pPr>
        <w:pStyle w:val="STNORMLN-2"/>
      </w:pPr>
      <w:r w:rsidRPr="004E62A9">
        <w:t>Výpočet průtoku v potrubí dle ČSN 75 5455</w:t>
      </w:r>
      <w:r w:rsidRPr="004E62A9">
        <w:tab/>
        <w:t>Q</w:t>
      </w:r>
      <w:r w:rsidRPr="004E62A9">
        <w:rPr>
          <w:vertAlign w:val="subscript"/>
        </w:rPr>
        <w:t>max</w:t>
      </w:r>
      <w:r w:rsidRPr="004E62A9">
        <w:t xml:space="preserve"> = 2,3 m</w:t>
      </w:r>
      <w:r w:rsidRPr="00041ABB">
        <w:t>3</w:t>
      </w:r>
      <w:r w:rsidRPr="004E62A9">
        <w:t xml:space="preserve"> / h = 0,64 l / s</w:t>
      </w:r>
      <w:r w:rsidRPr="004E62A9">
        <w:tab/>
      </w:r>
    </w:p>
    <w:p w14:paraId="27576DD4" w14:textId="6F848FDB" w:rsidR="00373E07" w:rsidRPr="00F44CE1" w:rsidRDefault="00373E07" w:rsidP="00E35D91">
      <w:pPr>
        <w:pStyle w:val="STodrkyabc"/>
      </w:pPr>
      <w:r w:rsidRPr="00F44CE1">
        <w:t xml:space="preserve">Výpočet potřeby tepla pro </w:t>
      </w:r>
      <w:r w:rsidR="00C3485A" w:rsidRPr="00F44CE1">
        <w:t>ohřev teplé</w:t>
      </w:r>
      <w:r w:rsidRPr="00F44CE1">
        <w:t xml:space="preserve"> vody </w:t>
      </w:r>
      <w:r w:rsidR="00C3485A" w:rsidRPr="00F44CE1">
        <w:t>55 °C</w:t>
      </w:r>
      <w:r w:rsidRPr="00F44CE1">
        <w:t xml:space="preserve"> (dle ČSN 060320)</w:t>
      </w:r>
    </w:p>
    <w:p w14:paraId="5ABB4C53" w14:textId="77777777" w:rsidR="00373E07" w:rsidRDefault="00373E07" w:rsidP="00F44CE1">
      <w:pPr>
        <w:pStyle w:val="STNORMLN-2"/>
      </w:pPr>
      <w:r>
        <w:t>Předpoklad tepelných ztrát v rozvodech 30%</w:t>
      </w:r>
    </w:p>
    <w:p w14:paraId="706544C6" w14:textId="6B7C2CAE" w:rsidR="00373E07" w:rsidRDefault="00373E07" w:rsidP="00041ABB">
      <w:pPr>
        <w:pStyle w:val="STNORMLN-2"/>
      </w:pPr>
      <w:r>
        <w:t>Bytový dům</w:t>
      </w:r>
    </w:p>
    <w:p w14:paraId="780C5244" w14:textId="02D315C6" w:rsidR="00373E07" w:rsidRPr="00F44CE1" w:rsidRDefault="00373E07">
      <w:pPr>
        <w:pStyle w:val="STNORMLN-2"/>
      </w:pPr>
      <w:r w:rsidRPr="00F44CE1">
        <w:t>6 pokojů - 6 osob</w:t>
      </w:r>
      <w:r w:rsidRPr="00F44CE1">
        <w:tab/>
      </w:r>
      <w:r w:rsidRPr="00F44CE1">
        <w:tab/>
        <w:t>4,3 kW / os./ den</w:t>
      </w:r>
      <w:r w:rsidRPr="00F44CE1">
        <w:tab/>
      </w:r>
      <w:r w:rsidRPr="00F44CE1">
        <w:tab/>
        <w:t>25,8 kWh / den</w:t>
      </w:r>
    </w:p>
    <w:p w14:paraId="0BBD021A" w14:textId="76EA5802" w:rsidR="00373E07" w:rsidRPr="00F44CE1" w:rsidRDefault="00373E07">
      <w:pPr>
        <w:pStyle w:val="STNORMLN-2"/>
      </w:pPr>
      <w:r w:rsidRPr="00F44CE1">
        <w:t xml:space="preserve">1 </w:t>
      </w:r>
      <w:r w:rsidR="00C3485A" w:rsidRPr="00F44CE1">
        <w:t>zaměstnanec</w:t>
      </w:r>
      <w:r w:rsidRPr="00F44CE1">
        <w:tab/>
      </w:r>
      <w:r w:rsidRPr="00F44CE1">
        <w:tab/>
        <w:t>2 kW / os./ den</w:t>
      </w:r>
      <w:r w:rsidRPr="00F44CE1">
        <w:tab/>
      </w:r>
      <w:r w:rsidRPr="00F44CE1">
        <w:tab/>
        <w:t>2 kWh / den</w:t>
      </w:r>
    </w:p>
    <w:p w14:paraId="27F56A68" w14:textId="16401628" w:rsidR="00373E07" w:rsidRPr="00F44CE1" w:rsidRDefault="00373E07">
      <w:pPr>
        <w:pStyle w:val="STNORMLN-2"/>
      </w:pPr>
      <w:r w:rsidRPr="00F44CE1">
        <w:t>Průměrná denní potřeba tepla:</w:t>
      </w:r>
      <w:r w:rsidRPr="00F44CE1">
        <w:tab/>
        <w:t xml:space="preserve">     </w:t>
      </w:r>
      <w:r w:rsidR="00C3485A" w:rsidRPr="00F44CE1">
        <w:tab/>
      </w:r>
      <w:r w:rsidRPr="00F44CE1">
        <w:t xml:space="preserve"> Q</w:t>
      </w:r>
      <w:r w:rsidRPr="00F44CE1">
        <w:rPr>
          <w:vertAlign w:val="subscript"/>
        </w:rPr>
        <w:t>ptuv</w:t>
      </w:r>
      <w:r w:rsidRPr="00F44CE1">
        <w:t xml:space="preserve"> = 1,3 x 27,8 = 36,14 kWh/den </w:t>
      </w:r>
      <w:r w:rsidR="00C3485A" w:rsidRPr="00F44CE1">
        <w:t>(691</w:t>
      </w:r>
      <w:r w:rsidRPr="00F44CE1">
        <w:t xml:space="preserve"> l/den)</w:t>
      </w:r>
    </w:p>
    <w:p w14:paraId="0CFFDFA4" w14:textId="45A32FE0" w:rsidR="00373E07" w:rsidRPr="00F44CE1" w:rsidRDefault="00373E07">
      <w:pPr>
        <w:pStyle w:val="STNORMLN-2"/>
      </w:pPr>
      <w:r w:rsidRPr="00F44CE1">
        <w:t xml:space="preserve">Maximální denní potřeba tepla: </w:t>
      </w:r>
      <w:r w:rsidRPr="00F44CE1">
        <w:tab/>
        <w:t xml:space="preserve">     </w:t>
      </w:r>
      <w:r w:rsidR="00C3485A" w:rsidRPr="00F44CE1">
        <w:tab/>
      </w:r>
      <w:r w:rsidRPr="00F44CE1">
        <w:t xml:space="preserve"> Q</w:t>
      </w:r>
      <w:r w:rsidRPr="00F44CE1">
        <w:rPr>
          <w:vertAlign w:val="subscript"/>
        </w:rPr>
        <w:t>ptuv</w:t>
      </w:r>
      <w:r w:rsidRPr="00F44CE1">
        <w:t xml:space="preserve"> = 1,29 x 36,14 = 46,62 kWh/den </w:t>
      </w:r>
      <w:r w:rsidR="00C3485A" w:rsidRPr="00F44CE1">
        <w:t>(891</w:t>
      </w:r>
      <w:r w:rsidRPr="00F44CE1">
        <w:t xml:space="preserve"> l/den)</w:t>
      </w:r>
    </w:p>
    <w:p w14:paraId="4F335179" w14:textId="54E32516" w:rsidR="00373E07" w:rsidRPr="00F44CE1" w:rsidRDefault="00373E07">
      <w:pPr>
        <w:pStyle w:val="STNORMLN-2"/>
      </w:pPr>
      <w:r w:rsidRPr="00F44CE1">
        <w:t xml:space="preserve">Maximální hodinová potřeba </w:t>
      </w:r>
      <w:r w:rsidR="00C3485A" w:rsidRPr="00F44CE1">
        <w:t xml:space="preserve">tepla: </w:t>
      </w:r>
      <w:r w:rsidR="00C3485A" w:rsidRPr="00F44CE1">
        <w:tab/>
      </w:r>
      <w:r w:rsidR="00C3485A" w:rsidRPr="00F44CE1">
        <w:tab/>
      </w:r>
      <w:r w:rsidRPr="00F44CE1">
        <w:t>Q</w:t>
      </w:r>
      <w:r w:rsidRPr="00F44CE1">
        <w:rPr>
          <w:vertAlign w:val="subscript"/>
        </w:rPr>
        <w:t>htuv</w:t>
      </w:r>
      <w:r w:rsidRPr="00F44CE1">
        <w:t xml:space="preserve"> = 46,62 / 24 x 2,3 = 4,47 kWh/hod (86 l/hod) </w:t>
      </w:r>
    </w:p>
    <w:p w14:paraId="7EC95FF3" w14:textId="06C114CF" w:rsidR="00373E07" w:rsidRPr="00F44CE1" w:rsidRDefault="00373E07">
      <w:pPr>
        <w:pStyle w:val="STNORMLN-2"/>
      </w:pPr>
      <w:r w:rsidRPr="00F44CE1">
        <w:t>Roční potřeba tepla:</w:t>
      </w:r>
      <w:r w:rsidRPr="00F44CE1">
        <w:tab/>
      </w:r>
      <w:r w:rsidRPr="00F44CE1">
        <w:tab/>
        <w:t xml:space="preserve">      </w:t>
      </w:r>
      <w:r w:rsidR="00C3485A" w:rsidRPr="00F44CE1">
        <w:tab/>
      </w:r>
      <w:r w:rsidR="00C3485A" w:rsidRPr="00F44CE1">
        <w:tab/>
      </w:r>
      <w:r w:rsidRPr="00F44CE1">
        <w:t>Q</w:t>
      </w:r>
      <w:r w:rsidRPr="00F44CE1">
        <w:rPr>
          <w:vertAlign w:val="subscript"/>
        </w:rPr>
        <w:t>rtuv</w:t>
      </w:r>
      <w:r w:rsidRPr="00F44CE1">
        <w:t xml:space="preserve"> = 36,14 x 365 = 13 192 kWh/rok (253 m</w:t>
      </w:r>
      <w:r w:rsidRPr="00F44CE1">
        <w:rPr>
          <w:vertAlign w:val="superscript"/>
        </w:rPr>
        <w:t>3</w:t>
      </w:r>
      <w:r w:rsidRPr="00F44CE1">
        <w:t>/rok)</w:t>
      </w:r>
      <w:bookmarkEnd w:id="78"/>
    </w:p>
    <w:p w14:paraId="3422BE53" w14:textId="49C7AFB0" w:rsidR="00C3485A" w:rsidRPr="00546D14" w:rsidRDefault="00C3485A" w:rsidP="00E35D91">
      <w:pPr>
        <w:pStyle w:val="STNORMLN-2"/>
      </w:pPr>
      <w:r w:rsidRPr="00546D14">
        <w:t>Bilance potřeby plynu</w:t>
      </w:r>
    </w:p>
    <w:p w14:paraId="6BADD687" w14:textId="5A1CDC4B" w:rsidR="00C3485A" w:rsidRDefault="00C3485A" w:rsidP="00041ABB">
      <w:pPr>
        <w:pStyle w:val="STNORMLN-2"/>
        <w:rPr>
          <w:noProof/>
          <w:lang w:eastAsia="cs-CZ"/>
        </w:rPr>
      </w:pPr>
      <w:r>
        <w:rPr>
          <w:noProof/>
          <w:lang w:eastAsia="cs-CZ"/>
        </w:rPr>
        <w:t>max. hodinová spotřeba ZP</w:t>
      </w:r>
      <w:r w:rsidR="003E2356">
        <w:rPr>
          <w:noProof/>
          <w:lang w:eastAsia="cs-CZ"/>
        </w:rPr>
        <w:tab/>
      </w:r>
      <w:r w:rsidR="003E2356">
        <w:rPr>
          <w:noProof/>
          <w:lang w:eastAsia="cs-CZ"/>
        </w:rPr>
        <w:tab/>
        <w:t xml:space="preserve">    </w:t>
      </w:r>
      <w:r w:rsidR="003E2356">
        <w:rPr>
          <w:noProof/>
          <w:lang w:eastAsia="cs-CZ"/>
        </w:rPr>
        <w:tab/>
      </w:r>
      <w:r>
        <w:rPr>
          <w:noProof/>
          <w:lang w:eastAsia="cs-CZ"/>
        </w:rPr>
        <w:t>1,9 m</w:t>
      </w:r>
      <w:r w:rsidRPr="00F44CE1">
        <w:rPr>
          <w:noProof/>
          <w:lang w:eastAsia="cs-CZ"/>
        </w:rPr>
        <w:t>3</w:t>
      </w:r>
      <w:r>
        <w:rPr>
          <w:noProof/>
          <w:lang w:eastAsia="cs-CZ"/>
        </w:rPr>
        <w:t xml:space="preserve">/h </w:t>
      </w:r>
    </w:p>
    <w:p w14:paraId="070BF427" w14:textId="14B37F40" w:rsidR="00C3485A" w:rsidRDefault="00C3485A">
      <w:pPr>
        <w:pStyle w:val="STNORMLN-2"/>
        <w:rPr>
          <w:noProof/>
          <w:lang w:eastAsia="cs-CZ"/>
        </w:rPr>
      </w:pPr>
      <w:r>
        <w:rPr>
          <w:noProof/>
          <w:lang w:eastAsia="cs-CZ"/>
        </w:rPr>
        <w:t>roční spotřeba ZP</w:t>
      </w:r>
      <w:r w:rsidR="003E2356">
        <w:rPr>
          <w:noProof/>
          <w:lang w:eastAsia="cs-CZ"/>
        </w:rPr>
        <w:tab/>
      </w:r>
      <w:r w:rsidR="003E2356">
        <w:rPr>
          <w:noProof/>
          <w:lang w:eastAsia="cs-CZ"/>
        </w:rPr>
        <w:tab/>
      </w:r>
      <w:r w:rsidR="003E2356">
        <w:rPr>
          <w:noProof/>
          <w:lang w:eastAsia="cs-CZ"/>
        </w:rPr>
        <w:tab/>
      </w:r>
      <w:r w:rsidR="003E2356">
        <w:rPr>
          <w:noProof/>
          <w:lang w:eastAsia="cs-CZ"/>
        </w:rPr>
        <w:tab/>
      </w:r>
      <w:r>
        <w:rPr>
          <w:noProof/>
          <w:lang w:eastAsia="cs-CZ"/>
        </w:rPr>
        <w:t>2 040 m</w:t>
      </w:r>
      <w:r w:rsidRPr="00F44CE1">
        <w:rPr>
          <w:noProof/>
          <w:lang w:eastAsia="cs-CZ"/>
        </w:rPr>
        <w:t>3</w:t>
      </w:r>
      <w:r>
        <w:rPr>
          <w:noProof/>
          <w:lang w:eastAsia="cs-CZ"/>
        </w:rPr>
        <w:t>/rok</w:t>
      </w:r>
    </w:p>
    <w:p w14:paraId="2B8458F4" w14:textId="7C91D460" w:rsidR="0063413E" w:rsidRPr="00692C1F" w:rsidRDefault="003E2356" w:rsidP="00E35D91">
      <w:pPr>
        <w:pStyle w:val="STNORMLN-2"/>
      </w:pPr>
      <w:r w:rsidRPr="00692C1F">
        <w:t>P</w:t>
      </w:r>
      <w:r w:rsidR="009D1E5B" w:rsidRPr="00692C1F">
        <w:t>otřeba tepla</w:t>
      </w:r>
      <w:r w:rsidRPr="00692C1F">
        <w:t xml:space="preserve"> pro vytápění</w:t>
      </w:r>
    </w:p>
    <w:p w14:paraId="024AD14A" w14:textId="45257FEF" w:rsidR="00E87A55" w:rsidRDefault="00E87A55" w:rsidP="00870B4B">
      <w:pPr>
        <w:pStyle w:val="STNORMLN-2"/>
      </w:pPr>
      <w:r>
        <w:t xml:space="preserve">Tepelná ztráta objektu </w:t>
      </w:r>
      <w:r w:rsidR="003E2356">
        <w:tab/>
      </w:r>
      <w:r w:rsidR="003E2356">
        <w:tab/>
        <w:t xml:space="preserve"> </w:t>
      </w:r>
      <w:r w:rsidR="003E2356">
        <w:tab/>
      </w:r>
      <w:r w:rsidR="00C3485A">
        <w:t>7,7</w:t>
      </w:r>
      <w:r>
        <w:t xml:space="preserve"> kW</w:t>
      </w:r>
    </w:p>
    <w:p w14:paraId="10CE2C52" w14:textId="4AA9CAD1" w:rsidR="00E87A55" w:rsidRDefault="003E2356" w:rsidP="00870B4B">
      <w:pPr>
        <w:pStyle w:val="STNORMLN-2"/>
      </w:pPr>
      <w:r>
        <w:t>O</w:t>
      </w:r>
      <w:r w:rsidR="00E87A55">
        <w:t>hřev teplé vody</w:t>
      </w:r>
      <w:r>
        <w:tab/>
      </w:r>
      <w:r>
        <w:tab/>
      </w:r>
      <w:r>
        <w:tab/>
      </w:r>
      <w:r>
        <w:tab/>
        <w:t>12,0 kW</w:t>
      </w:r>
    </w:p>
    <w:p w14:paraId="7AB90339" w14:textId="1E54491E" w:rsidR="003E2356" w:rsidRDefault="003E2356" w:rsidP="00041ABB">
      <w:pPr>
        <w:pStyle w:val="STNORMLN-2"/>
      </w:pPr>
      <w:r>
        <w:t>Roční bilance potřeby tepelné energie:</w:t>
      </w:r>
    </w:p>
    <w:p w14:paraId="26BDA582" w14:textId="6ED68957" w:rsidR="003E2356" w:rsidRDefault="003E2356" w:rsidP="00041ABB">
      <w:pPr>
        <w:pStyle w:val="STNORMLN-2"/>
      </w:pPr>
      <w:r>
        <w:t xml:space="preserve">Roční potřeba tepla pro vytápění </w:t>
      </w:r>
      <w:r>
        <w:tab/>
      </w:r>
      <w:r>
        <w:tab/>
        <w:t>16,2 MWh tj. 58 GJ</w:t>
      </w:r>
    </w:p>
    <w:p w14:paraId="40F1128F" w14:textId="375FD182" w:rsidR="003E2356" w:rsidRDefault="003E2356" w:rsidP="00041ABB">
      <w:pPr>
        <w:pStyle w:val="STNORMLN-2"/>
      </w:pPr>
      <w:r>
        <w:t xml:space="preserve">Roční potřeba tepla pro ohřev TV </w:t>
      </w:r>
      <w:r>
        <w:tab/>
      </w:r>
      <w:r>
        <w:tab/>
        <w:t>15,3 MWh tj. 55 GJ</w:t>
      </w:r>
    </w:p>
    <w:p w14:paraId="0B3F9D01" w14:textId="71F5284A" w:rsidR="003E2356" w:rsidRDefault="003E2356" w:rsidP="00041ABB">
      <w:pPr>
        <w:pStyle w:val="STNORMLN-2"/>
      </w:pPr>
      <w:r>
        <w:t xml:space="preserve">Celková roční potřeba tepla </w:t>
      </w:r>
      <w:r>
        <w:tab/>
      </w:r>
      <w:r>
        <w:tab/>
      </w:r>
      <w:r>
        <w:tab/>
        <w:t>31,5 MWh tj. 113 GJ</w:t>
      </w:r>
    </w:p>
    <w:p w14:paraId="2276F247" w14:textId="65178455" w:rsidR="003E2356" w:rsidRDefault="003E2356" w:rsidP="00041ABB">
      <w:pPr>
        <w:pStyle w:val="STNORMLN-2"/>
      </w:pPr>
      <w:r>
        <w:t xml:space="preserve">Roční spotřeba zemního plynu </w:t>
      </w:r>
      <w:r>
        <w:tab/>
      </w:r>
      <w:r>
        <w:tab/>
        <w:t>3 308 m3</w:t>
      </w:r>
    </w:p>
    <w:p w14:paraId="75B19929" w14:textId="523CAEFC" w:rsidR="00527432" w:rsidRDefault="003E2356" w:rsidP="00041ABB">
      <w:pPr>
        <w:pStyle w:val="STNORMLN-2"/>
      </w:pPr>
      <w:r>
        <w:t>Pozn. Uvedené hodnoty jsou pouze orientační a jsou závislé na průběhu a délce topné sezóny.</w:t>
      </w:r>
    </w:p>
    <w:p w14:paraId="28124D45" w14:textId="6FBBE497" w:rsidR="001F53C4" w:rsidRPr="00692C1F" w:rsidRDefault="001F53C4" w:rsidP="00E35D91">
      <w:pPr>
        <w:pStyle w:val="STNORMLN-2"/>
      </w:pPr>
      <w:r w:rsidRPr="00692C1F">
        <w:t>Elektrická energie</w:t>
      </w:r>
    </w:p>
    <w:p w14:paraId="7273CAA9" w14:textId="7D11C7EB" w:rsidR="00527432" w:rsidRDefault="001F53C4" w:rsidP="00904061">
      <w:pPr>
        <w:pStyle w:val="STNORMLN-2"/>
      </w:pPr>
      <w:r w:rsidRPr="008A301F">
        <w:t xml:space="preserve">Odhadovaný </w:t>
      </w:r>
      <w:r w:rsidR="0024524A">
        <w:t>roční spot</w:t>
      </w:r>
      <w:r w:rsidR="00D62865">
        <w:t>řeby elektrické energie</w:t>
      </w:r>
      <w:r w:rsidR="009622E1">
        <w:tab/>
        <w:t>22MWh</w:t>
      </w:r>
    </w:p>
    <w:p w14:paraId="2DCF8EBA" w14:textId="2970FBFE" w:rsidR="00D94281" w:rsidRPr="00692C1F" w:rsidRDefault="00D94281" w:rsidP="00E35D91">
      <w:pPr>
        <w:pStyle w:val="STNORMLN-2"/>
      </w:pPr>
      <w:r w:rsidRPr="00692C1F">
        <w:t>Třída energetické náročnosti budovy</w:t>
      </w:r>
    </w:p>
    <w:p w14:paraId="40A3386D" w14:textId="7162B2F8" w:rsidR="00527432" w:rsidRPr="00692C1F" w:rsidRDefault="00D94281" w:rsidP="00AA6A6E">
      <w:pPr>
        <w:pStyle w:val="STNORMLN-2"/>
        <w:rPr>
          <w:color w:val="auto"/>
        </w:rPr>
      </w:pPr>
      <w:r w:rsidRPr="00692C1F">
        <w:rPr>
          <w:color w:val="auto"/>
        </w:rPr>
        <w:t xml:space="preserve">Průkaz energetické náročnosti budovy </w:t>
      </w:r>
      <w:r w:rsidR="00E35D91">
        <w:rPr>
          <w:color w:val="auto"/>
        </w:rPr>
        <w:t>je</w:t>
      </w:r>
      <w:r w:rsidR="00422DF2" w:rsidRPr="00692C1F">
        <w:rPr>
          <w:color w:val="auto"/>
        </w:rPr>
        <w:t xml:space="preserve"> vypracován v stupni dokumentace pro stavebn</w:t>
      </w:r>
      <w:r w:rsidR="00F03471" w:rsidRPr="00692C1F">
        <w:rPr>
          <w:color w:val="auto"/>
        </w:rPr>
        <w:t>í</w:t>
      </w:r>
      <w:r w:rsidR="00422DF2" w:rsidRPr="00692C1F">
        <w:rPr>
          <w:color w:val="auto"/>
        </w:rPr>
        <w:t xml:space="preserve"> povolení. </w:t>
      </w:r>
    </w:p>
    <w:p w14:paraId="68D6FBEB" w14:textId="2B32FEF9" w:rsidR="00422DF2" w:rsidRPr="00692C1F" w:rsidRDefault="00422DF2" w:rsidP="00E35D91">
      <w:pPr>
        <w:pStyle w:val="STNORMLN-2"/>
      </w:pPr>
      <w:r w:rsidRPr="00692C1F">
        <w:t>Produkované množství a druhy odpadů</w:t>
      </w:r>
    </w:p>
    <w:p w14:paraId="52BA9F27" w14:textId="6FAB5368" w:rsidR="00527432" w:rsidRDefault="00422DF2" w:rsidP="00904061">
      <w:pPr>
        <w:pStyle w:val="STNORMLN-2"/>
      </w:pPr>
      <w:r w:rsidRPr="00DB3BFF">
        <w:t>Stavba bude produkovat klasický odpad ve formě plastů, papíru, hadrů, elektroniky a jiného tříditelného odpadu</w:t>
      </w:r>
      <w:r>
        <w:t>.</w:t>
      </w:r>
    </w:p>
    <w:p w14:paraId="294796C6" w14:textId="58AEFA21" w:rsidR="00663738" w:rsidRPr="00286D6F" w:rsidRDefault="00663738" w:rsidP="00E35D91">
      <w:pPr>
        <w:pStyle w:val="STodrkyabc"/>
      </w:pPr>
      <w:bookmarkStart w:id="79" w:name="_Toc24561555"/>
      <w:bookmarkStart w:id="80" w:name="_Toc24561660"/>
      <w:r w:rsidRPr="00286D6F">
        <w:t>Základní předpoklady výstavby</w:t>
      </w:r>
      <w:bookmarkEnd w:id="79"/>
      <w:bookmarkEnd w:id="80"/>
    </w:p>
    <w:p w14:paraId="75811CF1" w14:textId="51A2CAAD" w:rsidR="00286D6F" w:rsidRDefault="00CD5EDF" w:rsidP="00CD5EDF">
      <w:pPr>
        <w:pStyle w:val="STNORMLN-2"/>
        <w:rPr>
          <w:rFonts w:cs="Segoe UI"/>
        </w:rPr>
      </w:pPr>
      <w:commentRangeStart w:id="81"/>
      <w:r>
        <w:rPr>
          <w:rFonts w:cs="Segoe UI"/>
        </w:rPr>
        <w:t>Předpokládaný termín realizace stavebních prací je duben až listopad 2020</w:t>
      </w:r>
      <w:r w:rsidR="00286D6F">
        <w:rPr>
          <w:rFonts w:cs="Segoe UI"/>
        </w:rPr>
        <w:t>. Stavba proběhne v jednom časovém úseku a nemá žádné související a podmíněné investice. Podrobnější popis postupu výstavby je uveden v samostatné m díle části B – základy organizace výstavby.</w:t>
      </w:r>
    </w:p>
    <w:p w14:paraId="2C0E905C" w14:textId="2E4CC15D" w:rsidR="00663738" w:rsidRPr="00286D6F" w:rsidRDefault="00EC4B5B" w:rsidP="00E35D91">
      <w:pPr>
        <w:pStyle w:val="STodrkyabc"/>
      </w:pPr>
      <w:bookmarkStart w:id="82" w:name="_Toc24561556"/>
      <w:bookmarkStart w:id="83" w:name="_Toc24561661"/>
      <w:commentRangeEnd w:id="81"/>
      <w:r>
        <w:rPr>
          <w:rStyle w:val="Odkaznakoment"/>
          <w:rFonts w:asciiTheme="minorHAnsi" w:hAnsiTheme="minorHAnsi"/>
        </w:rPr>
        <w:commentReference w:id="81"/>
      </w:r>
      <w:r w:rsidR="00663738" w:rsidRPr="00286D6F">
        <w:t>Orientační náklady stavby</w:t>
      </w:r>
      <w:bookmarkEnd w:id="82"/>
      <w:bookmarkEnd w:id="83"/>
    </w:p>
    <w:p w14:paraId="01FEFCE1" w14:textId="006B3BB8" w:rsidR="00286D6F" w:rsidRDefault="00422DF2" w:rsidP="00663738">
      <w:pPr>
        <w:pStyle w:val="STNORMLN-2"/>
        <w:rPr>
          <w:rFonts w:cs="Segoe UI"/>
        </w:rPr>
      </w:pPr>
      <w:r w:rsidRPr="00904061">
        <w:rPr>
          <w:rFonts w:cs="Segoe UI"/>
        </w:rPr>
        <w:t>Předpokládan</w:t>
      </w:r>
      <w:r w:rsidR="00286D6F">
        <w:rPr>
          <w:rFonts w:cs="Segoe UI"/>
        </w:rPr>
        <w:t>ý</w:t>
      </w:r>
      <w:r w:rsidRPr="00904061">
        <w:rPr>
          <w:rFonts w:cs="Segoe UI"/>
        </w:rPr>
        <w:t xml:space="preserve"> náklad</w:t>
      </w:r>
      <w:r w:rsidR="00286D6F">
        <w:rPr>
          <w:rFonts w:cs="Segoe UI"/>
        </w:rPr>
        <w:t xml:space="preserve"> stavby je 13 000 000, -Kč.</w:t>
      </w:r>
    </w:p>
    <w:p w14:paraId="1001EDFD" w14:textId="77777777" w:rsidR="009158AF" w:rsidRPr="00B83ED2" w:rsidRDefault="009158AF" w:rsidP="009158AF">
      <w:pPr>
        <w:pStyle w:val="STNADPIS2"/>
      </w:pPr>
      <w:bookmarkStart w:id="84" w:name="_Toc18567054"/>
      <w:bookmarkStart w:id="85" w:name="_Toc24561557"/>
      <w:bookmarkStart w:id="86" w:name="_Toc24561662"/>
      <w:bookmarkStart w:id="87" w:name="_Toc18507912"/>
      <w:bookmarkStart w:id="88" w:name="_Toc24641054"/>
      <w:r w:rsidRPr="00B83ED2">
        <w:t>Celkové urbanistické a architektonické řešení</w:t>
      </w:r>
      <w:bookmarkEnd w:id="87"/>
      <w:bookmarkEnd w:id="88"/>
    </w:p>
    <w:p w14:paraId="4AFD7EE9" w14:textId="0FAAE4A5" w:rsidR="00663738" w:rsidRPr="009158AF" w:rsidRDefault="00663738" w:rsidP="009158AF">
      <w:pPr>
        <w:pStyle w:val="STodrkyabc"/>
        <w:numPr>
          <w:ilvl w:val="0"/>
          <w:numId w:val="27"/>
        </w:numPr>
        <w:rPr>
          <w:b/>
        </w:rPr>
      </w:pPr>
      <w:bookmarkStart w:id="89" w:name="_Toc24561558"/>
      <w:bookmarkStart w:id="90" w:name="_Toc24561663"/>
      <w:bookmarkEnd w:id="84"/>
      <w:bookmarkEnd w:id="85"/>
      <w:bookmarkEnd w:id="86"/>
      <w:r w:rsidRPr="00F44CE1">
        <w:t>Urbanismus</w:t>
      </w:r>
      <w:bookmarkEnd w:id="89"/>
      <w:bookmarkEnd w:id="90"/>
    </w:p>
    <w:p w14:paraId="471D7DB1" w14:textId="6EC240D5" w:rsidR="005146D0" w:rsidRDefault="00BD423B" w:rsidP="00663738">
      <w:pPr>
        <w:pStyle w:val="STNORMLN-2"/>
        <w:rPr>
          <w:rFonts w:cs="Segoe UI"/>
        </w:rPr>
      </w:pPr>
      <w:r w:rsidRPr="00B83ED2">
        <w:rPr>
          <w:rFonts w:cs="Segoe UI"/>
        </w:rPr>
        <w:t>S</w:t>
      </w:r>
      <w:r w:rsidR="005146D0" w:rsidRPr="00B83ED2">
        <w:rPr>
          <w:rFonts w:cs="Segoe UI"/>
        </w:rPr>
        <w:t>tavba není v rozporu s příslušnou územní regulací a nemá žádný vliv na kompozici prostorového řešení území.</w:t>
      </w:r>
      <w:r w:rsidR="0002646E" w:rsidRPr="00B83ED2">
        <w:rPr>
          <w:rFonts w:cs="Segoe UI"/>
        </w:rPr>
        <w:t xml:space="preserve"> Stavba se nachází dle platného územního plánu v území s funkčním využitím OV – obslužná sféra – občanská vybavenost. Stavba je v souladu s využitím území a</w:t>
      </w:r>
      <w:r w:rsidR="00EC4B5B">
        <w:rPr>
          <w:rFonts w:cs="Segoe UI"/>
        </w:rPr>
        <w:t> </w:t>
      </w:r>
      <w:r w:rsidR="0002646E" w:rsidRPr="00B83ED2">
        <w:rPr>
          <w:rFonts w:cs="Segoe UI"/>
        </w:rPr>
        <w:t>není v rozporu s územním plánem města</w:t>
      </w:r>
      <w:r w:rsidR="00EC4B5B">
        <w:rPr>
          <w:rFonts w:cs="Segoe UI"/>
        </w:rPr>
        <w:t xml:space="preserve"> Mladá Boleslav</w:t>
      </w:r>
      <w:r w:rsidR="0002646E" w:rsidRPr="00B83ED2">
        <w:rPr>
          <w:rFonts w:cs="Segoe UI"/>
        </w:rPr>
        <w:t>. Územní plán vymezuje lokalitu jako plochu stabilizovanou. Stavba je v souladu s územně plánovací dokumentací.</w:t>
      </w:r>
    </w:p>
    <w:p w14:paraId="0CC7851C" w14:textId="6A7CB692" w:rsidR="00EC4B5B" w:rsidRPr="00B83ED2" w:rsidRDefault="00EC4B5B" w:rsidP="00663738">
      <w:pPr>
        <w:pStyle w:val="STNORMLN-2"/>
        <w:rPr>
          <w:rFonts w:cs="Segoe UI"/>
        </w:rPr>
      </w:pPr>
      <w:r>
        <w:rPr>
          <w:rFonts w:cs="Segoe UI"/>
        </w:rPr>
        <w:t>Přístavba objektu je řešena ze západní strany budovy v soukromé zahradě, téměř skrytá pohledu kolemjdoucích. Výškově je přístavba osazena do „mezipatra“ z důvodu zajištění částečného využití objektu bezbariérově. Výška atiky přístavby bude přibližně 1,</w:t>
      </w:r>
      <w:r w:rsidR="00422DF2">
        <w:rPr>
          <w:rFonts w:cs="Segoe UI"/>
        </w:rPr>
        <w:t>2</w:t>
      </w:r>
      <w:r>
        <w:rPr>
          <w:rFonts w:cs="Segoe UI"/>
        </w:rPr>
        <w:t xml:space="preserve"> m pod atikou hlavní hmoty objektu. Posunutí hmoty přístavby jižním směrem kopíruje zkosenou severní hranu pozemku a vnáší tak do kompozice hmot adekvátní napětí</w:t>
      </w:r>
      <w:r w:rsidR="00722A62" w:rsidRPr="00822DE8">
        <w:rPr>
          <w:rFonts w:cs="Segoe UI"/>
        </w:rPr>
        <w:t xml:space="preserve">, </w:t>
      </w:r>
      <w:commentRangeStart w:id="91"/>
      <w:r w:rsidR="00722A62" w:rsidRPr="00822DE8">
        <w:rPr>
          <w:rFonts w:cs="Segoe UI"/>
        </w:rPr>
        <w:t xml:space="preserve">zároveň umožňuje osazení vstupu do budovy </w:t>
      </w:r>
      <w:commentRangeStart w:id="92"/>
      <w:r w:rsidR="00722A62" w:rsidRPr="00822DE8">
        <w:rPr>
          <w:rFonts w:cs="Segoe UI"/>
        </w:rPr>
        <w:t>přístřeškem</w:t>
      </w:r>
      <w:commentRangeEnd w:id="92"/>
      <w:r w:rsidR="00722A62" w:rsidRPr="00822DE8">
        <w:rPr>
          <w:rStyle w:val="Odkaznakoment"/>
          <w:rFonts w:asciiTheme="minorHAnsi" w:hAnsiTheme="minorHAnsi"/>
          <w:color w:val="auto"/>
        </w:rPr>
        <w:commentReference w:id="92"/>
      </w:r>
      <w:r w:rsidR="00722A62" w:rsidRPr="00822DE8">
        <w:rPr>
          <w:rFonts w:cs="Segoe UI"/>
        </w:rPr>
        <w:t>.</w:t>
      </w:r>
      <w:commentRangeEnd w:id="91"/>
      <w:r w:rsidR="00722A62" w:rsidRPr="00822DE8">
        <w:rPr>
          <w:rStyle w:val="Odkaznakoment"/>
          <w:rFonts w:asciiTheme="minorHAnsi" w:hAnsiTheme="minorHAnsi"/>
          <w:color w:val="auto"/>
        </w:rPr>
        <w:commentReference w:id="91"/>
      </w:r>
    </w:p>
    <w:p w14:paraId="4340BBA0" w14:textId="7735BF82" w:rsidR="00663738" w:rsidRPr="00F44CE1" w:rsidRDefault="00814832" w:rsidP="009158AF">
      <w:pPr>
        <w:pStyle w:val="STodrkyabc"/>
      </w:pPr>
      <w:bookmarkStart w:id="93" w:name="_Toc24561559"/>
      <w:bookmarkStart w:id="94" w:name="_Toc24561664"/>
      <w:r w:rsidRPr="00F44CE1">
        <w:t>Architektonické řešení</w:t>
      </w:r>
      <w:bookmarkEnd w:id="93"/>
      <w:bookmarkEnd w:id="94"/>
    </w:p>
    <w:p w14:paraId="60AF6FAC" w14:textId="20AD6983" w:rsidR="00C76290" w:rsidRPr="00B83ED2" w:rsidRDefault="00BF197E" w:rsidP="00761CB4">
      <w:pPr>
        <w:pStyle w:val="STNORMLN-2"/>
        <w:spacing w:after="40"/>
        <w:rPr>
          <w:rFonts w:cs="Segoe UI"/>
          <w:u w:val="single"/>
        </w:rPr>
      </w:pPr>
      <w:r w:rsidRPr="00B83ED2">
        <w:rPr>
          <w:rFonts w:cs="Segoe UI"/>
          <w:u w:val="single"/>
        </w:rPr>
        <w:t>Architektonické řešení navrhovaných úprav</w:t>
      </w:r>
    </w:p>
    <w:p w14:paraId="712B3013" w14:textId="27A24FB1" w:rsidR="009622E1" w:rsidRDefault="009622E1" w:rsidP="004E62A9">
      <w:pPr>
        <w:pStyle w:val="STNORMLN-2"/>
      </w:pPr>
      <w:r w:rsidRPr="00B83ED2">
        <w:t>Původní hmota rodinného domu</w:t>
      </w:r>
      <w:r>
        <w:t xml:space="preserve">, po vybourání </w:t>
      </w:r>
      <w:r w:rsidRPr="00B83ED2">
        <w:t>verand</w:t>
      </w:r>
      <w:r>
        <w:t>y</w:t>
      </w:r>
      <w:r w:rsidRPr="00B83ED2">
        <w:t xml:space="preserve"> a zádveří mnohoúhelníkového tvaru </w:t>
      </w:r>
      <w:r>
        <w:t>n</w:t>
      </w:r>
      <w:r w:rsidRPr="00B83ED2">
        <w:t>a jižní a</w:t>
      </w:r>
      <w:r>
        <w:t> </w:t>
      </w:r>
      <w:r w:rsidRPr="00B83ED2">
        <w:t>západní straně</w:t>
      </w:r>
      <w:r>
        <w:t>,</w:t>
      </w:r>
      <w:r w:rsidRPr="00B83ED2">
        <w:t xml:space="preserve"> </w:t>
      </w:r>
      <w:r>
        <w:t>bude</w:t>
      </w:r>
      <w:r w:rsidRPr="00B83ED2">
        <w:t xml:space="preserve"> doplněna novou hmotou přístavby na západní straně. Tato hmota má obdélníkový půdorys a je zastřešena plochou střechou. Hlavní hmota objektu bude </w:t>
      </w:r>
      <w:r>
        <w:t xml:space="preserve">vertikálně </w:t>
      </w:r>
      <w:r w:rsidRPr="00B83ED2">
        <w:t>barevně rozdělená na soklovou část</w:t>
      </w:r>
      <w:r>
        <w:t xml:space="preserve"> v odstínu tmavší béžové</w:t>
      </w:r>
      <w:r w:rsidRPr="00B83ED2">
        <w:t>, do výšky spodní hrany stříšky apsidy</w:t>
      </w:r>
      <w:r>
        <w:t xml:space="preserve"> </w:t>
      </w:r>
      <w:r w:rsidRPr="00B83ED2">
        <w:t>a na hlavní fasádu</w:t>
      </w:r>
      <w:r>
        <w:t xml:space="preserve"> 1. patra v odstínu světlejší béžové</w:t>
      </w:r>
      <w:r w:rsidRPr="00B83ED2">
        <w:t xml:space="preserve">. </w:t>
      </w:r>
      <w:r>
        <w:t xml:space="preserve">Fasáda přístavby bude provedena shodně s hlavní fasádou z hladké, resp. jemně strukturované systémové omítky probarvené ve hmotě, ovšem v jemně odlišném odstínu. </w:t>
      </w:r>
      <w:r w:rsidRPr="007849AB">
        <w:t>Konkrétní barevn</w:t>
      </w:r>
      <w:r>
        <w:t>é</w:t>
      </w:r>
      <w:r w:rsidRPr="007849AB">
        <w:t xml:space="preserve"> odstíny budou vybrán</w:t>
      </w:r>
      <w:r>
        <w:t>y</w:t>
      </w:r>
      <w:r w:rsidRPr="007849AB">
        <w:t xml:space="preserve"> až po předložení vzorníku dodavatele.</w:t>
      </w:r>
    </w:p>
    <w:p w14:paraId="20E04F2D" w14:textId="33E4A371" w:rsidR="009622E1" w:rsidRDefault="009622E1" w:rsidP="004E62A9">
      <w:pPr>
        <w:pStyle w:val="STNORMLN-2"/>
      </w:pPr>
      <w:r w:rsidRPr="00B83ED2">
        <w:t xml:space="preserve">Okna jsou řešena s horizontálním členěním s cílem opticky snižovat výšku objektu. Rámy oken a dveří jsou </w:t>
      </w:r>
      <w:r>
        <w:t>navrženy na vnější straně jako imitace povrchu dřeva.</w:t>
      </w:r>
    </w:p>
    <w:p w14:paraId="584A3801" w14:textId="0B4A66DB" w:rsidR="009622E1" w:rsidRDefault="009622E1" w:rsidP="004E62A9">
      <w:pPr>
        <w:pStyle w:val="STNORMLN-2"/>
      </w:pPr>
      <w:r w:rsidRPr="00B83ED2">
        <w:t>Vstup do objektu je umístěn v jižní fasádě. Nad vstupem do objektu je navržen</w:t>
      </w:r>
      <w:r>
        <w:t>a</w:t>
      </w:r>
      <w:r w:rsidRPr="00B83ED2">
        <w:t xml:space="preserve"> pergola s průsvitn</w:t>
      </w:r>
      <w:r>
        <w:t>ý</w:t>
      </w:r>
      <w:r w:rsidRPr="00B83ED2">
        <w:t xml:space="preserve">m zastřešením. Tato stříška slouží jako ochrana vstupního prostoru před rozmary počasí a </w:t>
      </w:r>
      <w:r>
        <w:t>zároveň</w:t>
      </w:r>
      <w:r w:rsidRPr="00B83ED2">
        <w:t xml:space="preserve"> dotváří architektonick</w:t>
      </w:r>
      <w:r>
        <w:t>ý</w:t>
      </w:r>
      <w:r w:rsidRPr="00B83ED2">
        <w:t xml:space="preserve"> vzhled objektu.</w:t>
      </w:r>
    </w:p>
    <w:p w14:paraId="2EE82DF7" w14:textId="4F0A7F09" w:rsidR="00814832" w:rsidRPr="00B83ED2" w:rsidRDefault="00814832" w:rsidP="009158AF">
      <w:pPr>
        <w:pStyle w:val="STNADPIS2"/>
      </w:pPr>
      <w:bookmarkStart w:id="95" w:name="_Toc18567055"/>
      <w:bookmarkStart w:id="96" w:name="_Toc24561560"/>
      <w:bookmarkStart w:id="97" w:name="_Toc24561665"/>
      <w:bookmarkStart w:id="98" w:name="_Toc24641055"/>
      <w:r w:rsidRPr="00B83ED2">
        <w:t xml:space="preserve">Celkové </w:t>
      </w:r>
      <w:r w:rsidR="00DD1D09" w:rsidRPr="00B83ED2">
        <w:t xml:space="preserve">dispoziční a </w:t>
      </w:r>
      <w:r w:rsidRPr="00B83ED2">
        <w:t>provozní řešení, technologie výroby</w:t>
      </w:r>
      <w:bookmarkEnd w:id="95"/>
      <w:bookmarkEnd w:id="96"/>
      <w:bookmarkEnd w:id="97"/>
      <w:bookmarkEnd w:id="98"/>
    </w:p>
    <w:p w14:paraId="2D648874" w14:textId="0D51CFEC" w:rsidR="00814832" w:rsidRPr="00F44CE1" w:rsidRDefault="00DD1D09" w:rsidP="009158AF">
      <w:pPr>
        <w:pStyle w:val="STodrkyabc"/>
        <w:rPr>
          <w:b/>
        </w:rPr>
      </w:pPr>
      <w:bookmarkStart w:id="99" w:name="_Toc24561561"/>
      <w:bookmarkStart w:id="100" w:name="_Toc24561666"/>
      <w:r w:rsidRPr="00F44CE1">
        <w:t>Dispoziční</w:t>
      </w:r>
      <w:r w:rsidR="00814832" w:rsidRPr="00F44CE1">
        <w:t xml:space="preserve"> řešení</w:t>
      </w:r>
      <w:bookmarkEnd w:id="99"/>
      <w:bookmarkEnd w:id="100"/>
    </w:p>
    <w:p w14:paraId="2EA80512" w14:textId="77777777" w:rsidR="009622E1" w:rsidRDefault="009622E1" w:rsidP="00041ABB">
      <w:pPr>
        <w:pStyle w:val="STNORMLN-2"/>
      </w:pPr>
      <w:r w:rsidRPr="00466129">
        <w:t>Do budovy se vstupuje ze zahrady na úrovni mezipatra od jihu plnými dveřmi s nadsvětlíkem. Z chodby na úrovni vstupu je možný přístup do 3 pokojů, do kanceláře zaměstnanců a</w:t>
      </w:r>
      <w:r>
        <w:t> </w:t>
      </w:r>
      <w:r w:rsidRPr="00466129">
        <w:t>do</w:t>
      </w:r>
      <w:r>
        <w:t> </w:t>
      </w:r>
      <w:r w:rsidRPr="00466129">
        <w:t>hygienické buňky určené pro osoby s omezenou schopností pohybu. Z chodby se</w:t>
      </w:r>
      <w:r>
        <w:t> </w:t>
      </w:r>
      <w:r w:rsidRPr="00466129">
        <w:t>vstupuje po schodech do 1. patra k obývacím místnostem, jsou zde umístěny dva pokoje, společná pobytová hala s jídelním koutem, kuchyně, komora a koupelna s WC. Ze vstupní chodby je také možný přístup po novém schodišti do přízemí k technickým místnostem, skladům a nadstandardnímu pokoji s koupelnou.</w:t>
      </w:r>
    </w:p>
    <w:p w14:paraId="23C5CC0A" w14:textId="5F4EA2A7" w:rsidR="005258EF" w:rsidRPr="00F44CE1" w:rsidRDefault="00DD1D09" w:rsidP="009158AF">
      <w:pPr>
        <w:pStyle w:val="STodrkyabc"/>
        <w:rPr>
          <w:b/>
        </w:rPr>
      </w:pPr>
      <w:bookmarkStart w:id="101" w:name="_Toc24561562"/>
      <w:bookmarkStart w:id="102" w:name="_Toc24561667"/>
      <w:r w:rsidRPr="00F44CE1">
        <w:t>Provozní řešení</w:t>
      </w:r>
      <w:bookmarkEnd w:id="101"/>
      <w:bookmarkEnd w:id="102"/>
    </w:p>
    <w:p w14:paraId="73E7E5E3" w14:textId="1AABA562" w:rsidR="009622E1" w:rsidRDefault="009622E1" w:rsidP="00041ABB">
      <w:pPr>
        <w:pStyle w:val="STNORMLN-2"/>
      </w:pPr>
      <w:r w:rsidRPr="00856B42">
        <w:t>Služb</w:t>
      </w:r>
      <w:r>
        <w:t>y poskytované v předmětné budově</w:t>
      </w:r>
      <w:r w:rsidRPr="00856B42">
        <w:t xml:space="preserve"> j</w:t>
      </w:r>
      <w:r>
        <w:t>sou</w:t>
      </w:r>
      <w:r w:rsidRPr="00856B42">
        <w:t xml:space="preserve"> určen</w:t>
      </w:r>
      <w:r>
        <w:t>y</w:t>
      </w:r>
      <w:r w:rsidRPr="00856B42">
        <w:t xml:space="preserve"> dospělým osobám s nízkofunkčním autismem. Lidé s touto úrovní adaptability bývají velmi uzavření a mají malou schopnost navazovat sociální vztahy. Věnují se jednoduchým stereotypním činnostem, časté je</w:t>
      </w:r>
      <w:r>
        <w:t xml:space="preserve"> u nich </w:t>
      </w:r>
      <w:r w:rsidRPr="00856B42">
        <w:t>sebezraňování a agrese. Je potřebný neustálý dohled odborně vyškoleného personálu. Návrh dispozičního řešení navazuje na tyto poznatky v rámci možností daného objektu. Pokoje klientů jsou navrženy jako jednolůžkové. Prostory jsou rozděleny do dvou základních zón: místnosti přístupné a nepřístupné pro ubytované osoby.</w:t>
      </w:r>
    </w:p>
    <w:p w14:paraId="46A58196" w14:textId="7910ABA5" w:rsidR="00814832" w:rsidRPr="00F44CE1" w:rsidRDefault="00814832" w:rsidP="009158AF">
      <w:pPr>
        <w:pStyle w:val="STodrkyabc"/>
        <w:rPr>
          <w:b/>
        </w:rPr>
      </w:pPr>
      <w:bookmarkStart w:id="103" w:name="_Toc24561563"/>
      <w:bookmarkStart w:id="104" w:name="_Toc24561668"/>
      <w:r w:rsidRPr="00F44CE1">
        <w:t>Technologie výroby</w:t>
      </w:r>
      <w:bookmarkEnd w:id="103"/>
      <w:bookmarkEnd w:id="104"/>
    </w:p>
    <w:p w14:paraId="5AA81A98" w14:textId="40589D73" w:rsidR="00527432" w:rsidRPr="00CD5EDF" w:rsidRDefault="00AC46E0" w:rsidP="00814832">
      <w:pPr>
        <w:pStyle w:val="STNORMLN-2"/>
        <w:rPr>
          <w:rFonts w:cs="Segoe UI"/>
        </w:rPr>
      </w:pPr>
      <w:r w:rsidRPr="00CD5EDF">
        <w:rPr>
          <w:rFonts w:cs="Segoe UI"/>
        </w:rPr>
        <w:t>Objekt neobsahuje technologické a výrobní provozy.</w:t>
      </w:r>
    </w:p>
    <w:p w14:paraId="011CF85F" w14:textId="7C181024" w:rsidR="00814832" w:rsidRPr="00B83ED2" w:rsidRDefault="00814832" w:rsidP="009158AF">
      <w:pPr>
        <w:pStyle w:val="STNADPIS2"/>
      </w:pPr>
      <w:bookmarkStart w:id="105" w:name="_Toc18567056"/>
      <w:bookmarkStart w:id="106" w:name="_Toc24561564"/>
      <w:bookmarkStart w:id="107" w:name="_Toc24561669"/>
      <w:bookmarkStart w:id="108" w:name="_Toc24641056"/>
      <w:r w:rsidRPr="00B83ED2">
        <w:t>Bezbariérové užívání stavby</w:t>
      </w:r>
      <w:bookmarkEnd w:id="105"/>
      <w:bookmarkEnd w:id="106"/>
      <w:bookmarkEnd w:id="107"/>
      <w:bookmarkEnd w:id="108"/>
    </w:p>
    <w:p w14:paraId="72D25890" w14:textId="00E022BF" w:rsidR="00527432" w:rsidRPr="00B83ED2" w:rsidRDefault="00BD4295" w:rsidP="004267E0">
      <w:pPr>
        <w:pStyle w:val="STNORMLN-2"/>
        <w:rPr>
          <w:rFonts w:cs="Segoe UI"/>
        </w:rPr>
      </w:pPr>
      <w:commentRangeStart w:id="109"/>
      <w:r w:rsidRPr="00B83ED2">
        <w:rPr>
          <w:rFonts w:cs="Segoe UI"/>
        </w:rPr>
        <w:t xml:space="preserve">Ve smyslu vyhlášky č. 398/2009 sb. musí být zajištěn bezbariérový přístup do stavby.  Bezbariérový přístup k budově se zajistí ze sousedního pozemku Centra 83. Navržené prostory ve přístavbě </w:t>
      </w:r>
      <w:r w:rsidR="00CD5EDF">
        <w:rPr>
          <w:rFonts w:cs="Segoe UI"/>
        </w:rPr>
        <w:t>umožňují</w:t>
      </w:r>
      <w:r w:rsidRPr="00B83ED2">
        <w:rPr>
          <w:rFonts w:cs="Segoe UI"/>
        </w:rPr>
        <w:t xml:space="preserve"> užívání pro osoby s omezenou schopností pohybu. V tomto patře je navržené hygienické zázemí</w:t>
      </w:r>
      <w:r w:rsidR="00CD5EDF">
        <w:rPr>
          <w:rFonts w:cs="Segoe UI"/>
        </w:rPr>
        <w:t>.</w:t>
      </w:r>
      <w:commentRangeEnd w:id="109"/>
      <w:r w:rsidR="00571517">
        <w:rPr>
          <w:rStyle w:val="Odkaznakoment"/>
          <w:rFonts w:asciiTheme="minorHAnsi" w:hAnsiTheme="minorHAnsi"/>
          <w:color w:val="auto"/>
        </w:rPr>
        <w:commentReference w:id="109"/>
      </w:r>
    </w:p>
    <w:p w14:paraId="4B2F8254" w14:textId="647A81DF" w:rsidR="00814832" w:rsidRPr="00B83ED2" w:rsidRDefault="00814832" w:rsidP="009158AF">
      <w:pPr>
        <w:pStyle w:val="STNADPIS2"/>
      </w:pPr>
      <w:bookmarkStart w:id="110" w:name="_Toc18567057"/>
      <w:bookmarkStart w:id="111" w:name="_Toc24561565"/>
      <w:bookmarkStart w:id="112" w:name="_Toc24561670"/>
      <w:bookmarkStart w:id="113" w:name="_Toc24641057"/>
      <w:r w:rsidRPr="00B83ED2">
        <w:t>Bezpečnost při užívání stavby</w:t>
      </w:r>
      <w:bookmarkEnd w:id="110"/>
      <w:bookmarkEnd w:id="111"/>
      <w:bookmarkEnd w:id="112"/>
      <w:bookmarkEnd w:id="113"/>
    </w:p>
    <w:p w14:paraId="48EAC4EC" w14:textId="00384B58" w:rsidR="00AE0A6F" w:rsidRPr="00B83ED2" w:rsidRDefault="006733F3" w:rsidP="004267E0">
      <w:pPr>
        <w:pStyle w:val="STNORMLN-2"/>
        <w:rPr>
          <w:rFonts w:cs="Segoe UI"/>
        </w:rPr>
      </w:pPr>
      <w:r w:rsidRPr="00B83ED2">
        <w:rPr>
          <w:rFonts w:cs="Segoe UI"/>
        </w:rPr>
        <w:t xml:space="preserve">Zrealizovaná stavba bude odpovídat všem parametrům bezpečnosti vyplývající z platné </w:t>
      </w:r>
      <w:r w:rsidR="0027543D" w:rsidRPr="00B83ED2">
        <w:rPr>
          <w:rFonts w:cs="Segoe UI"/>
        </w:rPr>
        <w:t>legislativy,</w:t>
      </w:r>
      <w:r w:rsidRPr="00B83ED2">
        <w:rPr>
          <w:rFonts w:cs="Segoe UI"/>
        </w:rPr>
        <w:t xml:space="preserve"> a tudíž nevyvolává zdroje zvýšeného ohrožení a bezpečnosti uvnitř pohybujících se osob. Únikové cesty budou řádně vyznačeny světelnými informačními piktogramy.</w:t>
      </w:r>
    </w:p>
    <w:p w14:paraId="407B6A68" w14:textId="4CCF66AC" w:rsidR="00FA32A8" w:rsidRPr="00B83ED2" w:rsidRDefault="00235462" w:rsidP="004267E0">
      <w:pPr>
        <w:pStyle w:val="STNORMLN-2"/>
        <w:rPr>
          <w:rFonts w:cs="Segoe UI"/>
        </w:rPr>
      </w:pPr>
      <w:r>
        <w:rPr>
          <w:rFonts w:cs="Segoe UI"/>
        </w:rPr>
        <w:t>Z důvodu zajištění bezpečnosti klientů</w:t>
      </w:r>
      <w:r w:rsidR="006733F3" w:rsidRPr="00B83ED2">
        <w:rPr>
          <w:rFonts w:cs="Segoe UI"/>
        </w:rPr>
        <w:t xml:space="preserve"> budou okna </w:t>
      </w:r>
      <w:r>
        <w:rPr>
          <w:rFonts w:cs="Segoe UI"/>
        </w:rPr>
        <w:t xml:space="preserve">zasklena bezpečnostními skly s </w:t>
      </w:r>
      <w:r w:rsidR="006733F3" w:rsidRPr="00B83ED2">
        <w:rPr>
          <w:rFonts w:cs="Segoe UI"/>
        </w:rPr>
        <w:t>polepe</w:t>
      </w:r>
      <w:r>
        <w:rPr>
          <w:rFonts w:cs="Segoe UI"/>
        </w:rPr>
        <w:t>m</w:t>
      </w:r>
      <w:r w:rsidR="006733F3" w:rsidRPr="00B83ED2">
        <w:rPr>
          <w:rFonts w:cs="Segoe UI"/>
        </w:rPr>
        <w:t xml:space="preserve"> bezpečnostní folií </w:t>
      </w:r>
      <w:r>
        <w:rPr>
          <w:rFonts w:cs="Segoe UI"/>
        </w:rPr>
        <w:t xml:space="preserve">a </w:t>
      </w:r>
      <w:r w:rsidR="006733F3" w:rsidRPr="00B83ED2">
        <w:rPr>
          <w:rFonts w:cs="Segoe UI"/>
        </w:rPr>
        <w:t>s </w:t>
      </w:r>
      <w:r w:rsidRPr="00B83ED2">
        <w:rPr>
          <w:rFonts w:cs="Segoe UI"/>
        </w:rPr>
        <w:t>odnímateln</w:t>
      </w:r>
      <w:r>
        <w:rPr>
          <w:rFonts w:cs="Segoe UI"/>
        </w:rPr>
        <w:t>ou</w:t>
      </w:r>
      <w:r w:rsidRPr="00B83ED2">
        <w:rPr>
          <w:rFonts w:cs="Segoe UI"/>
        </w:rPr>
        <w:t xml:space="preserve"> </w:t>
      </w:r>
      <w:r w:rsidR="006733F3" w:rsidRPr="00B83ED2">
        <w:rPr>
          <w:rFonts w:cs="Segoe UI"/>
        </w:rPr>
        <w:t xml:space="preserve">klikou. </w:t>
      </w:r>
      <w:r>
        <w:rPr>
          <w:rFonts w:cs="Segoe UI"/>
        </w:rPr>
        <w:t>V </w:t>
      </w:r>
      <w:r w:rsidR="006D786A" w:rsidRPr="00B83ED2">
        <w:rPr>
          <w:rFonts w:cs="Segoe UI"/>
        </w:rPr>
        <w:t>pokojích budou zabudované TV jištěné za nerozbitným sklem s AV kabeláží zavedené do kanceláře. Dveře pokojů budou horizontálně půlené, kdy je možné otevřít nejprve horní část a následně celé dveře, odolné proti prokopnutí.</w:t>
      </w:r>
      <w:r w:rsidR="002305ED" w:rsidRPr="00B83ED2">
        <w:rPr>
          <w:rFonts w:cs="Segoe UI"/>
        </w:rPr>
        <w:t xml:space="preserve"> Pokoj musí být bezpečný. </w:t>
      </w:r>
      <w:r w:rsidR="009947D2">
        <w:rPr>
          <w:rFonts w:cs="Segoe UI"/>
        </w:rPr>
        <w:t>Na základě zkušeností sociálních pracovníků</w:t>
      </w:r>
      <w:r w:rsidR="009947D2" w:rsidRPr="00B83ED2">
        <w:rPr>
          <w:rFonts w:cs="Segoe UI"/>
        </w:rPr>
        <w:t xml:space="preserve"> </w:t>
      </w:r>
      <w:r w:rsidR="009947D2">
        <w:rPr>
          <w:rFonts w:cs="Segoe UI"/>
        </w:rPr>
        <w:t>n</w:t>
      </w:r>
      <w:r w:rsidR="009947D2" w:rsidRPr="00B83ED2">
        <w:rPr>
          <w:rFonts w:cs="Segoe UI"/>
        </w:rPr>
        <w:t>ábytek</w:t>
      </w:r>
      <w:r w:rsidR="002305ED" w:rsidRPr="00B83ED2">
        <w:rPr>
          <w:rFonts w:cs="Segoe UI"/>
        </w:rPr>
        <w:t xml:space="preserve"> nesmí mít žádné ostré hran</w:t>
      </w:r>
      <w:r w:rsidR="009947D2">
        <w:rPr>
          <w:rFonts w:cs="Segoe UI"/>
        </w:rPr>
        <w:t>y</w:t>
      </w:r>
      <w:r w:rsidR="002305ED" w:rsidRPr="00B83ED2">
        <w:rPr>
          <w:rFonts w:cs="Segoe UI"/>
        </w:rPr>
        <w:t>.</w:t>
      </w:r>
      <w:r w:rsidR="009947D2">
        <w:rPr>
          <w:rFonts w:cs="Segoe UI"/>
        </w:rPr>
        <w:t xml:space="preserve"> Koncové prvky mají být zapuštěné.</w:t>
      </w:r>
      <w:r>
        <w:rPr>
          <w:rFonts w:cs="Segoe UI"/>
        </w:rPr>
        <w:t xml:space="preserve"> Materiálové řešení pobytových prostor budou prakticky v provedení antivandal.</w:t>
      </w:r>
    </w:p>
    <w:p w14:paraId="4595039D" w14:textId="7762DB4E" w:rsidR="002808B4" w:rsidRDefault="00814832" w:rsidP="009158AF">
      <w:pPr>
        <w:pStyle w:val="STNADPIS2"/>
      </w:pPr>
      <w:bookmarkStart w:id="114" w:name="_Toc18567058"/>
      <w:bookmarkStart w:id="115" w:name="_Toc24561566"/>
      <w:bookmarkStart w:id="116" w:name="_Toc24561671"/>
      <w:bookmarkStart w:id="117" w:name="_Toc24641058"/>
      <w:r w:rsidRPr="00B83ED2">
        <w:t xml:space="preserve">Základní </w:t>
      </w:r>
      <w:r w:rsidR="006D786A" w:rsidRPr="00B83ED2">
        <w:t>technický popis stav</w:t>
      </w:r>
      <w:r w:rsidR="00976DE3" w:rsidRPr="00B83ED2">
        <w:t>by</w:t>
      </w:r>
      <w:bookmarkEnd w:id="114"/>
      <w:bookmarkEnd w:id="115"/>
      <w:bookmarkEnd w:id="116"/>
      <w:bookmarkEnd w:id="117"/>
    </w:p>
    <w:p w14:paraId="00EE32B0" w14:textId="57E190B4" w:rsidR="002808B4" w:rsidRDefault="002808B4" w:rsidP="002808B4">
      <w:pPr>
        <w:pStyle w:val="STNORMLN-2"/>
      </w:pPr>
      <w:r>
        <w:t>Z průvodní zprávy vyplývá, že celá stavba stává z několika pozemních a technických objektů. Pozemní objekty řeší vlastní přestavbu stávajícího rodinného domu</w:t>
      </w:r>
      <w:r w:rsidR="0086268B">
        <w:t xml:space="preserve"> a rekonstrukce oplocení. Technické potom napojení na veřejnou technickou infrastrukturu a jsou popsány v odstavci B.3, popisujícího napojení na příslušnou problematiku.</w:t>
      </w:r>
    </w:p>
    <w:p w14:paraId="64D79A29" w14:textId="1589777C" w:rsidR="00042F27" w:rsidRPr="00B171E5" w:rsidRDefault="00042F27" w:rsidP="002D5BF2">
      <w:pPr>
        <w:pStyle w:val="STodrkyabc"/>
        <w:numPr>
          <w:ilvl w:val="0"/>
          <w:numId w:val="29"/>
        </w:numPr>
      </w:pPr>
      <w:bookmarkStart w:id="118" w:name="_Toc24561567"/>
      <w:bookmarkStart w:id="119" w:name="_Toc24561672"/>
      <w:r w:rsidRPr="00B171E5">
        <w:t>Stavební řešení</w:t>
      </w:r>
      <w:bookmarkEnd w:id="118"/>
      <w:bookmarkEnd w:id="119"/>
    </w:p>
    <w:p w14:paraId="1FCEAD5B" w14:textId="7C36C0E7" w:rsidR="0086268B" w:rsidRPr="002D5BF2" w:rsidRDefault="009158AF" w:rsidP="009158AF">
      <w:pPr>
        <w:pStyle w:val="STNORMLN-2"/>
        <w:rPr>
          <w:b/>
          <w:bCs/>
        </w:rPr>
      </w:pPr>
      <w:r w:rsidRPr="002D5BF2">
        <w:rPr>
          <w:b/>
          <w:bCs/>
        </w:rPr>
        <w:t xml:space="preserve">SO </w:t>
      </w:r>
      <w:r w:rsidR="0086268B" w:rsidRPr="002D5BF2">
        <w:rPr>
          <w:b/>
          <w:bCs/>
        </w:rPr>
        <w:t>0201 Rekonstrukce a přístavba.</w:t>
      </w:r>
    </w:p>
    <w:p w14:paraId="55CD9635" w14:textId="294EDC93" w:rsidR="004B0F25" w:rsidRDefault="004B0F25" w:rsidP="004B0F25">
      <w:pPr>
        <w:pStyle w:val="STNORMLN-2"/>
      </w:pPr>
      <w:r w:rsidRPr="00B83ED2">
        <w:t>Stavba má tři nadzemní podlaží. Přízemí je na úrovni veřejné komunikac</w:t>
      </w:r>
      <w:r>
        <w:t>e</w:t>
      </w:r>
      <w:r w:rsidRPr="00B83ED2">
        <w:t>, mezipatro má úroveň podlahy 1,6 m pod úrovní 1. patra, na kterém je umístěná kóta ±0,000.</w:t>
      </w:r>
    </w:p>
    <w:p w14:paraId="1B681AAA" w14:textId="47479131" w:rsidR="00D42471" w:rsidRDefault="00D42471" w:rsidP="009158AF">
      <w:pPr>
        <w:pStyle w:val="STNORMLN-2"/>
      </w:pPr>
      <w:bookmarkStart w:id="120" w:name="_Toc24561568"/>
      <w:bookmarkStart w:id="121" w:name="_Toc24561673"/>
      <w:r>
        <w:t>Bourací práce</w:t>
      </w:r>
      <w:bookmarkEnd w:id="120"/>
      <w:bookmarkEnd w:id="121"/>
    </w:p>
    <w:p w14:paraId="636D0CA6" w14:textId="77777777" w:rsidR="00D42471" w:rsidRPr="00F44CE1" w:rsidRDefault="00D42471" w:rsidP="00D42471">
      <w:pPr>
        <w:pStyle w:val="STnormal"/>
        <w:numPr>
          <w:ilvl w:val="0"/>
          <w:numId w:val="22"/>
        </w:numPr>
        <w:rPr>
          <w:b/>
        </w:rPr>
      </w:pPr>
      <w:r w:rsidRPr="00F44CE1">
        <w:t>Rozsah bouracích prací bude následovný:</w:t>
      </w:r>
    </w:p>
    <w:p w14:paraId="698B3889" w14:textId="77777777" w:rsidR="00D42471" w:rsidRPr="00B83ED2" w:rsidRDefault="00D42471" w:rsidP="00D42471">
      <w:pPr>
        <w:pStyle w:val="STnormal"/>
        <w:numPr>
          <w:ilvl w:val="0"/>
          <w:numId w:val="22"/>
        </w:numPr>
      </w:pPr>
      <w:r>
        <w:t>v</w:t>
      </w:r>
      <w:r w:rsidRPr="00B83ED2">
        <w:t>ybourání vstupní předsazené verandy na jižní fasádě</w:t>
      </w:r>
      <w:r>
        <w:t>;</w:t>
      </w:r>
    </w:p>
    <w:p w14:paraId="1D04BFC1" w14:textId="77777777" w:rsidR="00D42471" w:rsidRPr="00B83ED2" w:rsidRDefault="00D42471" w:rsidP="00D42471">
      <w:pPr>
        <w:pStyle w:val="STnormal"/>
        <w:numPr>
          <w:ilvl w:val="0"/>
          <w:numId w:val="22"/>
        </w:numPr>
      </w:pPr>
      <w:r>
        <w:t>v</w:t>
      </w:r>
      <w:r w:rsidRPr="00B83ED2">
        <w:t>ybourání zádveří v západní stěně</w:t>
      </w:r>
      <w:r>
        <w:t>;</w:t>
      </w:r>
    </w:p>
    <w:p w14:paraId="5A3D1CBD" w14:textId="77777777" w:rsidR="00D42471" w:rsidRPr="00B83ED2" w:rsidRDefault="00D42471" w:rsidP="00D42471">
      <w:pPr>
        <w:pStyle w:val="STnormal"/>
        <w:numPr>
          <w:ilvl w:val="0"/>
          <w:numId w:val="22"/>
        </w:numPr>
      </w:pPr>
      <w:r>
        <w:t>o</w:t>
      </w:r>
      <w:r w:rsidRPr="00B83ED2">
        <w:t>dstranění stávající tepelné izolace a vnější omítky</w:t>
      </w:r>
      <w:r>
        <w:t>;</w:t>
      </w:r>
    </w:p>
    <w:p w14:paraId="75845F64" w14:textId="77777777" w:rsidR="00D42471" w:rsidRPr="00B83ED2" w:rsidRDefault="00D42471" w:rsidP="00D42471">
      <w:pPr>
        <w:pStyle w:val="STnormal"/>
        <w:numPr>
          <w:ilvl w:val="0"/>
          <w:numId w:val="22"/>
        </w:numPr>
      </w:pPr>
      <w:r>
        <w:t>v</w:t>
      </w:r>
      <w:r w:rsidRPr="00B83ED2">
        <w:t>ybourání nových otvorů ve stávajících konstrukcích</w:t>
      </w:r>
      <w:r>
        <w:t>;</w:t>
      </w:r>
    </w:p>
    <w:p w14:paraId="724C6C45" w14:textId="77777777" w:rsidR="00D42471" w:rsidRPr="00B83ED2" w:rsidRDefault="00D42471" w:rsidP="00D42471">
      <w:pPr>
        <w:pStyle w:val="STnormal"/>
        <w:numPr>
          <w:ilvl w:val="0"/>
          <w:numId w:val="22"/>
        </w:numPr>
      </w:pPr>
      <w:r w:rsidRPr="00B83ED2">
        <w:t>odstranění stávající skladby střech až po nosnou konstrukci</w:t>
      </w:r>
      <w:r>
        <w:t>;</w:t>
      </w:r>
    </w:p>
    <w:p w14:paraId="78E29776" w14:textId="77777777" w:rsidR="00D42471" w:rsidRPr="00B83ED2" w:rsidRDefault="00D42471" w:rsidP="00D42471">
      <w:pPr>
        <w:pStyle w:val="STnormal"/>
        <w:numPr>
          <w:ilvl w:val="0"/>
          <w:numId w:val="22"/>
        </w:numPr>
      </w:pPr>
      <w:r w:rsidRPr="00B83ED2">
        <w:t>vybourání atiky na západní straně střechy</w:t>
      </w:r>
      <w:r>
        <w:t xml:space="preserve"> a atiky původní přístavby;</w:t>
      </w:r>
    </w:p>
    <w:p w14:paraId="27D98893" w14:textId="77777777" w:rsidR="00D42471" w:rsidRPr="00B83ED2" w:rsidRDefault="00D42471" w:rsidP="00D42471">
      <w:pPr>
        <w:pStyle w:val="STnormal"/>
        <w:numPr>
          <w:ilvl w:val="0"/>
          <w:numId w:val="22"/>
        </w:numPr>
      </w:pPr>
      <w:r w:rsidRPr="00B83ED2">
        <w:t>odstranění veškerých klempířských prvk</w:t>
      </w:r>
      <w:r>
        <w:t>ů;</w:t>
      </w:r>
    </w:p>
    <w:p w14:paraId="5F5928DF" w14:textId="77777777" w:rsidR="00D42471" w:rsidRDefault="00D42471" w:rsidP="00D42471">
      <w:pPr>
        <w:pStyle w:val="STODRKY"/>
        <w:numPr>
          <w:ilvl w:val="0"/>
          <w:numId w:val="22"/>
        </w:numPr>
        <w:rPr>
          <w:rFonts w:cs="Segoe UI"/>
        </w:rPr>
      </w:pPr>
      <w:r w:rsidRPr="00B83ED2">
        <w:rPr>
          <w:rFonts w:cs="Segoe UI"/>
        </w:rPr>
        <w:t>odstranění výplní otvorů vnitřních i vnějších</w:t>
      </w:r>
      <w:r>
        <w:rPr>
          <w:rFonts w:cs="Segoe UI"/>
        </w:rPr>
        <w:t>.</w:t>
      </w:r>
    </w:p>
    <w:p w14:paraId="4BD172B4" w14:textId="1B72AFF7" w:rsidR="007E06D6" w:rsidRPr="00042F27" w:rsidRDefault="007E06D6" w:rsidP="002D5BF2">
      <w:pPr>
        <w:pStyle w:val="STNORMLN-2"/>
      </w:pPr>
      <w:bookmarkStart w:id="122" w:name="_Toc24561569"/>
      <w:bookmarkStart w:id="123" w:name="_Toc24561674"/>
      <w:r w:rsidRPr="00042F27">
        <w:t>Založení objektu</w:t>
      </w:r>
      <w:bookmarkEnd w:id="122"/>
      <w:bookmarkEnd w:id="123"/>
    </w:p>
    <w:p w14:paraId="087323DE" w14:textId="77777777" w:rsidR="000425B6" w:rsidRDefault="000425B6" w:rsidP="000425B6">
      <w:pPr>
        <w:pStyle w:val="STNORMLN-2"/>
      </w:pPr>
      <w:r w:rsidRPr="00B83ED2">
        <w:t xml:space="preserve">Dle dostupných podkladů lze předpokládat, že stávající objekt je založen na základových betonových pasech proložených lomovým kamenem. Lze předpokládat, že je objekt založen </w:t>
      </w:r>
      <w:r>
        <w:t>v </w:t>
      </w:r>
      <w:r w:rsidRPr="00B83ED2">
        <w:t>nezámrzné hloub</w:t>
      </w:r>
      <w:r>
        <w:t>ce</w:t>
      </w:r>
      <w:r w:rsidRPr="00B83ED2">
        <w:t xml:space="preserve">. </w:t>
      </w:r>
      <w:r>
        <w:t xml:space="preserve">Skutečná hloubka základové spáry bude prověřena při odhalení základových konstrukcí. </w:t>
      </w:r>
      <w:r w:rsidRPr="00B83ED2">
        <w:t>Přístavba bude založena na základových pasech z prostého betonu</w:t>
      </w:r>
      <w:r>
        <w:t xml:space="preserve">, v místě styku se stávajícími pasy bude provedeno provázání pasů proti posunu pomocí kotevních prutů </w:t>
      </w:r>
      <w:r>
        <w:rPr>
          <w:rFonts w:cs="Segoe UI"/>
        </w:rPr>
        <w:t>Ø</w:t>
      </w:r>
      <w:r>
        <w:t>12 mm</w:t>
      </w:r>
      <w:r w:rsidRPr="00B83ED2">
        <w:t>.</w:t>
      </w:r>
    </w:p>
    <w:p w14:paraId="7276F5CB" w14:textId="3D647EBD" w:rsidR="007E06D6" w:rsidRPr="00042F27" w:rsidRDefault="007E06D6" w:rsidP="002D5BF2">
      <w:pPr>
        <w:pStyle w:val="STNORMLN-2"/>
      </w:pPr>
      <w:bookmarkStart w:id="124" w:name="_Toc24561570"/>
      <w:bookmarkStart w:id="125" w:name="_Toc24561675"/>
      <w:r w:rsidRPr="00042F27">
        <w:t>Svislé konstrukce</w:t>
      </w:r>
      <w:bookmarkEnd w:id="124"/>
      <w:bookmarkEnd w:id="125"/>
    </w:p>
    <w:p w14:paraId="2DB60DED" w14:textId="77777777" w:rsidR="000425B6" w:rsidRDefault="000425B6" w:rsidP="000425B6">
      <w:pPr>
        <w:pStyle w:val="STNORMLN-2"/>
      </w:pPr>
      <w:r w:rsidRPr="0086524D">
        <w:t>Svislé nosné konstrukce stávajícího objektu jsou klasické zděné konstrukce z cihel pálených kladených do vazby na vápenocementovou maltu. Obvodové nosné zdivo stavby je různých šířek. Obvodové zdivo je z cihel plných šířky 450–500 mm, obvodové zdivo stávající přístavby je z pálených keramických dutých tvarovek CD-INA tl. 375 mm. Stávající nosné cihelné stěny uvnitř dispozic jsou šířky 300 mm. Dělící příčky jsou z cihel tl. 160-180 mm.</w:t>
      </w:r>
    </w:p>
    <w:p w14:paraId="3C410195" w14:textId="09608A02" w:rsidR="000425B6" w:rsidRDefault="000425B6" w:rsidP="000425B6">
      <w:pPr>
        <w:pStyle w:val="STNORMLN-2"/>
      </w:pPr>
      <w:r>
        <w:t>Obvodové zdivo přístavby bude proveden z broušených cihelných bloků tl. 440 mm na maltu pro tenké spáry. Přizdívání nových zdí ke stávající konstrukci bude proveden vysekáním „kapes“ do stávající zdi, do kterých se zakotví vázací cihla.</w:t>
      </w:r>
    </w:p>
    <w:p w14:paraId="4E03A810" w14:textId="4E8E714B" w:rsidR="000425B6" w:rsidRPr="00042F27" w:rsidRDefault="000425B6" w:rsidP="002D5BF2">
      <w:pPr>
        <w:pStyle w:val="STNORMLN-2"/>
      </w:pPr>
      <w:bookmarkStart w:id="126" w:name="_Toc24561571"/>
      <w:bookmarkStart w:id="127" w:name="_Toc24561676"/>
      <w:r w:rsidRPr="00F44CE1">
        <w:t>Dělící konstrukce</w:t>
      </w:r>
      <w:bookmarkEnd w:id="126"/>
      <w:bookmarkEnd w:id="127"/>
    </w:p>
    <w:p w14:paraId="7370CE19" w14:textId="1AE7E9DE" w:rsidR="000425B6" w:rsidRPr="00865CFC" w:rsidRDefault="000425B6" w:rsidP="000425B6">
      <w:pPr>
        <w:pStyle w:val="STNORMLN-2"/>
      </w:pPr>
      <w:r>
        <w:t xml:space="preserve">Příčky se vyzdí z broušených cihelných bloků tl. 140 mm na maltu pro tenké spáry. Styk nových zdí se stávající konstrukcí bude proveden provázáním, tedy vysekáním „kapes“ do stávající </w:t>
      </w:r>
      <w:r w:rsidRPr="00865CFC">
        <w:t>stěny, do kterých se zakotví vázací cihla nového zdiva.</w:t>
      </w:r>
    </w:p>
    <w:p w14:paraId="2AC1357F" w14:textId="6828CE00" w:rsidR="007E06D6" w:rsidRPr="00F44CE1" w:rsidRDefault="005C495F" w:rsidP="002D5BF2">
      <w:pPr>
        <w:pStyle w:val="STNORMLN-2"/>
        <w:rPr>
          <w:b/>
        </w:rPr>
      </w:pPr>
      <w:bookmarkStart w:id="128" w:name="_Toc24561572"/>
      <w:bookmarkStart w:id="129" w:name="_Toc24561677"/>
      <w:r w:rsidRPr="00042F27">
        <w:t>Vodorovné konstrukce</w:t>
      </w:r>
      <w:bookmarkEnd w:id="128"/>
      <w:bookmarkEnd w:id="129"/>
    </w:p>
    <w:p w14:paraId="36F21300" w14:textId="0BACFC3E" w:rsidR="000425B6" w:rsidRPr="00B83ED2" w:rsidRDefault="000425B6" w:rsidP="002D5BF2">
      <w:pPr>
        <w:pStyle w:val="STNORMLN-2"/>
        <w:rPr>
          <w:rFonts w:cs="Segoe UI"/>
        </w:rPr>
      </w:pPr>
      <w:r w:rsidRPr="00883916">
        <w:t>Stávající stropní konstrukce nad přízemím je realizovaná jako železobetonová deska s</w:t>
      </w:r>
      <w:r>
        <w:t> </w:t>
      </w:r>
      <w:r w:rsidRPr="00883916">
        <w:t xml:space="preserve">výztužnými žebry výšky 180 mm. </w:t>
      </w:r>
      <w:r>
        <w:t xml:space="preserve">Nosná konstrukce střechy je tvořena dřevěnými trámy 240/200 mm. </w:t>
      </w:r>
      <w:r w:rsidRPr="0043304D">
        <w:rPr>
          <w:color w:val="auto"/>
        </w:rPr>
        <w:t>V místě vybourané dvouplášťové střechy bude proveden nový dřevěný trámový strop uložený na stávající nosné zdi.</w:t>
      </w:r>
      <w:r>
        <w:rPr>
          <w:color w:val="auto"/>
        </w:rPr>
        <w:t xml:space="preserve"> Dřevěné trámy budou ošetřeny přípravkem proti dřevokazným houbám, hmyzu a plísním. Bude aplikován prostředek s barevní variantou.</w:t>
      </w:r>
      <w:r w:rsidRPr="0043304D">
        <w:rPr>
          <w:color w:val="auto"/>
        </w:rPr>
        <w:t xml:space="preserve"> </w:t>
      </w:r>
      <w:r>
        <w:rPr>
          <w:color w:val="auto"/>
        </w:rPr>
        <w:t>Nosná konstrukce nové střechy přístavby je navržena z keramobetonových stropních nosníků a keramických vložek.</w:t>
      </w:r>
    </w:p>
    <w:p w14:paraId="4951858C" w14:textId="1DC0CF77" w:rsidR="001B3047" w:rsidRPr="00042F27" w:rsidRDefault="000425B6" w:rsidP="002D5BF2">
      <w:pPr>
        <w:pStyle w:val="STNORMLN-2"/>
      </w:pPr>
      <w:bookmarkStart w:id="130" w:name="_Toc24561573"/>
      <w:bookmarkStart w:id="131" w:name="_Toc24561678"/>
      <w:r w:rsidRPr="00042F27">
        <w:t>Překlady</w:t>
      </w:r>
      <w:bookmarkEnd w:id="130"/>
      <w:bookmarkEnd w:id="131"/>
    </w:p>
    <w:p w14:paraId="60AF7E8F" w14:textId="36B1BE31" w:rsidR="000425B6" w:rsidRDefault="000425B6" w:rsidP="002D5BF2">
      <w:pPr>
        <w:pStyle w:val="STNORMLN-2"/>
      </w:pPr>
      <w:r>
        <w:t xml:space="preserve">Překlady nad stávajícími otvory projekt uvažuje ocelové. Překlady nad novými otvory </w:t>
      </w:r>
      <w:r>
        <w:br/>
        <w:t>ve stávajících konstrukcích jsou navrženy ocelové. Překlady v nových zděných stěnách jsou navrženy keramické systémové.</w:t>
      </w:r>
    </w:p>
    <w:p w14:paraId="2B410808" w14:textId="0C6B50AC" w:rsidR="000F14EC" w:rsidRPr="00042F27" w:rsidRDefault="000F14EC" w:rsidP="002D5BF2">
      <w:pPr>
        <w:pStyle w:val="STNORMLN-2"/>
      </w:pPr>
      <w:bookmarkStart w:id="132" w:name="_Toc24561574"/>
      <w:bookmarkStart w:id="133" w:name="_Toc24561679"/>
      <w:r w:rsidRPr="00042F27">
        <w:t>Střecha</w:t>
      </w:r>
      <w:bookmarkEnd w:id="132"/>
      <w:bookmarkEnd w:id="133"/>
    </w:p>
    <w:p w14:paraId="7AF6A36D" w14:textId="77777777" w:rsidR="000425B6" w:rsidRDefault="000425B6" w:rsidP="002D5BF2">
      <w:pPr>
        <w:pStyle w:val="STNORMLN-2"/>
      </w:pPr>
      <w:r>
        <w:t>Na střeše budou vybourána komínová tělesa a stávající atiková zeď. Bude odstraněna stávající skladba střešního pláště až na nosné trámy.</w:t>
      </w:r>
    </w:p>
    <w:p w14:paraId="62E889CD" w14:textId="77777777" w:rsidR="000425B6" w:rsidRDefault="000425B6" w:rsidP="002D5BF2">
      <w:pPr>
        <w:pStyle w:val="STNORMLN-2"/>
      </w:pPr>
      <w:r>
        <w:t xml:space="preserve">Je navržena </w:t>
      </w:r>
      <w:r w:rsidRPr="00B83ED2">
        <w:t>rekonstru</w:t>
      </w:r>
      <w:r>
        <w:t>kce</w:t>
      </w:r>
      <w:r w:rsidRPr="00B83ED2">
        <w:t xml:space="preserve"> stře</w:t>
      </w:r>
      <w:r>
        <w:t>šního pláště. Střecha bude</w:t>
      </w:r>
      <w:r w:rsidRPr="00B83ED2">
        <w:t xml:space="preserve"> plochá jednoplášťová s mírným pultovým spádem. Rekonstrukce </w:t>
      </w:r>
      <w:r>
        <w:t>bude provedena v celé skladbě – krytina</w:t>
      </w:r>
      <w:r w:rsidRPr="00B83ED2">
        <w:t xml:space="preserve">, </w:t>
      </w:r>
      <w:r>
        <w:t xml:space="preserve">vrstvy tepelné izolace i </w:t>
      </w:r>
      <w:r w:rsidRPr="00B83ED2">
        <w:t>parotěsné zábrany. Střecha nové přístavby je navržená jako plochá jednoplášťová</w:t>
      </w:r>
      <w:r>
        <w:t xml:space="preserve"> ve stejné skladbě</w:t>
      </w:r>
      <w:r w:rsidRPr="00B83ED2">
        <w:t>.</w:t>
      </w:r>
      <w:r>
        <w:t xml:space="preserve"> Skladba je popsána v tabulce skladeb.</w:t>
      </w:r>
    </w:p>
    <w:p w14:paraId="3849E3DA" w14:textId="5978C771" w:rsidR="00976DE3" w:rsidRPr="00042F27" w:rsidRDefault="00A473A5" w:rsidP="002D5BF2">
      <w:pPr>
        <w:pStyle w:val="STNORMLN-2"/>
      </w:pPr>
      <w:bookmarkStart w:id="134" w:name="_Toc24561575"/>
      <w:bookmarkStart w:id="135" w:name="_Toc24561680"/>
      <w:r w:rsidRPr="00042F27">
        <w:t>Výplně otvorů</w:t>
      </w:r>
      <w:bookmarkEnd w:id="134"/>
      <w:bookmarkEnd w:id="135"/>
    </w:p>
    <w:p w14:paraId="575FFD68" w14:textId="3BF13DC1" w:rsidR="00976DE3" w:rsidRDefault="00A473A5" w:rsidP="002D5BF2">
      <w:pPr>
        <w:pStyle w:val="STNORMLN-2"/>
        <w:rPr>
          <w:rFonts w:cs="Segoe UI"/>
        </w:rPr>
      </w:pPr>
      <w:r w:rsidRPr="00B83ED2">
        <w:rPr>
          <w:rFonts w:cs="Segoe UI"/>
        </w:rPr>
        <w:t xml:space="preserve">Fasádní prvky budou osazeny dvojsklem, </w:t>
      </w:r>
      <w:r w:rsidR="00C534EB">
        <w:rPr>
          <w:rFonts w:cs="Segoe UI"/>
        </w:rPr>
        <w:t xml:space="preserve">nebo trojsklem z důvodu akustických, </w:t>
      </w:r>
      <w:r w:rsidRPr="00B83ED2">
        <w:rPr>
          <w:rFonts w:cs="Segoe UI"/>
        </w:rPr>
        <w:t xml:space="preserve">rámy budou plastové s přerušeným tepelným mostem. Okna budou opatřena </w:t>
      </w:r>
      <w:r w:rsidR="00C534EB">
        <w:rPr>
          <w:rFonts w:cs="Segoe UI"/>
        </w:rPr>
        <w:t xml:space="preserve">bezpečnostním zasklením s polepem </w:t>
      </w:r>
      <w:r w:rsidRPr="00B83ED2">
        <w:rPr>
          <w:rFonts w:cs="Segoe UI"/>
        </w:rPr>
        <w:t xml:space="preserve">bezpečnostní folií a odnímatelnými </w:t>
      </w:r>
      <w:r w:rsidR="00C534EB" w:rsidRPr="00B83ED2">
        <w:rPr>
          <w:rFonts w:cs="Segoe UI"/>
        </w:rPr>
        <w:t>klik</w:t>
      </w:r>
      <w:r w:rsidR="00C534EB">
        <w:rPr>
          <w:rFonts w:cs="Segoe UI"/>
        </w:rPr>
        <w:t>ami</w:t>
      </w:r>
      <w:r w:rsidRPr="00B83ED2">
        <w:rPr>
          <w:rFonts w:cs="Segoe UI"/>
        </w:rPr>
        <w:t xml:space="preserve">. </w:t>
      </w:r>
      <w:r w:rsidR="00E76A54" w:rsidRPr="00B83ED2">
        <w:rPr>
          <w:rFonts w:cs="Segoe UI"/>
        </w:rPr>
        <w:t>Vstupní dveře jsou navrženy jako ostatní fasádní výplně z plastových profilů, s přerušeným tepelným mostem.</w:t>
      </w:r>
    </w:p>
    <w:p w14:paraId="50802EFF" w14:textId="7D6853FD" w:rsidR="00C534EB" w:rsidRPr="00B83ED2" w:rsidRDefault="00C534EB" w:rsidP="002D5BF2">
      <w:pPr>
        <w:pStyle w:val="STNORMLN-2"/>
        <w:rPr>
          <w:rFonts w:cs="Segoe UI"/>
        </w:rPr>
      </w:pPr>
      <w:r>
        <w:rPr>
          <w:rFonts w:cs="Segoe UI"/>
        </w:rPr>
        <w:t>Vnitřní dveře budou v robustním provedení, dveře do pokojů dělené po výšce s průzorem.</w:t>
      </w:r>
    </w:p>
    <w:p w14:paraId="2DB426D3" w14:textId="2E5D24E5" w:rsidR="00A473A5" w:rsidRPr="00042F27" w:rsidRDefault="00A473A5" w:rsidP="002D5BF2">
      <w:pPr>
        <w:pStyle w:val="STNORMLN-2"/>
      </w:pPr>
      <w:bookmarkStart w:id="136" w:name="_Toc24561576"/>
      <w:bookmarkStart w:id="137" w:name="_Toc24561681"/>
      <w:r w:rsidRPr="00042F27">
        <w:t>Schodiště</w:t>
      </w:r>
      <w:bookmarkEnd w:id="136"/>
      <w:bookmarkEnd w:id="137"/>
    </w:p>
    <w:p w14:paraId="598445AC" w14:textId="372F311F" w:rsidR="00DB439A" w:rsidRPr="00B83ED2" w:rsidRDefault="000425B6" w:rsidP="002D5BF2">
      <w:pPr>
        <w:pStyle w:val="STNORMLN-2"/>
        <w:rPr>
          <w:rFonts w:cs="Segoe UI"/>
        </w:rPr>
      </w:pPr>
      <w:r>
        <w:t xml:space="preserve">Konstrukce vnitřního schodiště je navržena monolitická betonová vyztužená KARI sítěmi. Exteriérové schodiště je navrženo z betonových schodů lepených do betonového podkladu pomoci lepící malty. </w:t>
      </w:r>
      <w:bookmarkStart w:id="138" w:name="_Hlk18399922"/>
      <w:r w:rsidR="00E76A54" w:rsidRPr="00B83ED2">
        <w:rPr>
          <w:rFonts w:cs="Segoe UI"/>
        </w:rPr>
        <w:t xml:space="preserve">Počet stupňů a šířka je patrná z výkresové části. Schodiště jsou </w:t>
      </w:r>
      <w:r w:rsidR="00C534EB" w:rsidRPr="00B83ED2">
        <w:rPr>
          <w:rFonts w:cs="Segoe UI"/>
        </w:rPr>
        <w:t>navržen</w:t>
      </w:r>
      <w:r w:rsidR="00C534EB">
        <w:rPr>
          <w:rFonts w:cs="Segoe UI"/>
        </w:rPr>
        <w:t>a</w:t>
      </w:r>
      <w:r w:rsidR="00C534EB" w:rsidRPr="00B83ED2">
        <w:rPr>
          <w:rFonts w:cs="Segoe UI"/>
        </w:rPr>
        <w:t xml:space="preserve"> </w:t>
      </w:r>
      <w:r w:rsidR="00E76A54" w:rsidRPr="00B83ED2">
        <w:rPr>
          <w:rFonts w:cs="Segoe UI"/>
        </w:rPr>
        <w:t>s monolitickou povrchovou úpravou</w:t>
      </w:r>
      <w:r w:rsidR="009947D2">
        <w:rPr>
          <w:rFonts w:cs="Segoe UI"/>
        </w:rPr>
        <w:t xml:space="preserve"> a splňují</w:t>
      </w:r>
      <w:r w:rsidR="002A7E76" w:rsidRPr="00B83ED2">
        <w:rPr>
          <w:rFonts w:cs="Segoe UI"/>
        </w:rPr>
        <w:t xml:space="preserve"> požadavky stanovené vyhláškou č. 398/2009 Sb.</w:t>
      </w:r>
      <w:bookmarkEnd w:id="138"/>
    </w:p>
    <w:p w14:paraId="0E04E866" w14:textId="2CB49AC2" w:rsidR="002A7E76" w:rsidRPr="00042F27" w:rsidRDefault="00282B27" w:rsidP="002D5BF2">
      <w:pPr>
        <w:pStyle w:val="STNORMLN-2"/>
      </w:pPr>
      <w:bookmarkStart w:id="139" w:name="_Toc24561577"/>
      <w:bookmarkStart w:id="140" w:name="_Toc24561682"/>
      <w:r w:rsidRPr="00042F27">
        <w:t>Povrchové úpravy</w:t>
      </w:r>
      <w:bookmarkEnd w:id="139"/>
      <w:bookmarkEnd w:id="140"/>
    </w:p>
    <w:p w14:paraId="3F868CE8" w14:textId="604306D4" w:rsidR="000425B6" w:rsidRDefault="000425B6" w:rsidP="002D5BF2">
      <w:pPr>
        <w:pStyle w:val="STNORMLN-2"/>
      </w:pPr>
      <w:r w:rsidRPr="0043304D">
        <w:t xml:space="preserve">Nášlapná vrstva podlah je navržena jako litá bezespárá betonová s epoxidovým nátěrem v odstínu světle žlutý. Jako povrchová úprava stěn je navržena omyvatelná výmalba v plné výšce místností v odstínu světle oranžový. Povrchová úprava podhledů bude omyvatelná </w:t>
      </w:r>
      <w:r>
        <w:t xml:space="preserve">bílá </w:t>
      </w:r>
      <w:r w:rsidRPr="0043304D">
        <w:t>malba</w:t>
      </w:r>
      <w:r>
        <w:t>. K</w:t>
      </w:r>
      <w:r w:rsidRPr="0043304D">
        <w:t>onkrétní barevn</w:t>
      </w:r>
      <w:r>
        <w:t>é</w:t>
      </w:r>
      <w:r w:rsidRPr="0043304D">
        <w:t xml:space="preserve"> odstíny budou vybrán</w:t>
      </w:r>
      <w:r>
        <w:t>y</w:t>
      </w:r>
      <w:r w:rsidRPr="0043304D">
        <w:t xml:space="preserve"> až po předložení vzorníku dodavatele.</w:t>
      </w:r>
    </w:p>
    <w:p w14:paraId="28CA06D9" w14:textId="77777777" w:rsidR="000425B6" w:rsidRPr="00042F27" w:rsidRDefault="000425B6" w:rsidP="002D5BF2">
      <w:pPr>
        <w:pStyle w:val="STNORMLN-2"/>
      </w:pPr>
      <w:bookmarkStart w:id="141" w:name="_Toc18387915"/>
      <w:bookmarkStart w:id="142" w:name="_Toc24561578"/>
      <w:bookmarkStart w:id="143" w:name="_Toc24561683"/>
      <w:r w:rsidRPr="00042F27">
        <w:t>Izolace proti vodě a radonu</w:t>
      </w:r>
      <w:bookmarkEnd w:id="141"/>
      <w:bookmarkEnd w:id="142"/>
      <w:bookmarkEnd w:id="143"/>
    </w:p>
    <w:p w14:paraId="69756C26" w14:textId="77777777" w:rsidR="000425B6" w:rsidRDefault="000425B6" w:rsidP="002D5BF2">
      <w:pPr>
        <w:pStyle w:val="STNORMLN-2"/>
      </w:pPr>
      <w:r>
        <w:t>Hydroizolační systém spodní stavby je navržen proti zemní vlhkosti a radonu. Stávající zdivo bude podřezáno a společně s podlahami opatřeno izolací proti zemní vlhkosti. Do strojně proříznutého zdiva bude vložená hydroizolační deska z tuhého plastu nebo folie, bude provedeno vyklínování proti dosednutí a tlakové vyplnění řezu cementovou injektáží. Dodatečné izolování bude provedeno podle technologických předpisů dodavatele systému. Stávající svislé izolace na obvodovém zdivu budou odstraněny, zdivo bude očištěno a na připravený povrch bude aplikován nový izolační systém. Detaily budou provedeny podle technologických předpisů dodavatele systému. Podrobnosti viz skladby konstrukcí.</w:t>
      </w:r>
    </w:p>
    <w:p w14:paraId="58C2EC48" w14:textId="77777777" w:rsidR="000425B6" w:rsidRPr="00042F27" w:rsidRDefault="000425B6" w:rsidP="002D5BF2">
      <w:pPr>
        <w:pStyle w:val="STNORMLN-2"/>
      </w:pPr>
      <w:bookmarkStart w:id="144" w:name="_Toc18349077"/>
      <w:bookmarkStart w:id="145" w:name="_Toc18387916"/>
      <w:bookmarkStart w:id="146" w:name="_Toc24561579"/>
      <w:bookmarkStart w:id="147" w:name="_Toc24561684"/>
      <w:bookmarkEnd w:id="144"/>
      <w:r w:rsidRPr="00042F27">
        <w:t>Hydroizolace hygienických zařízení</w:t>
      </w:r>
      <w:bookmarkEnd w:id="145"/>
      <w:bookmarkEnd w:id="146"/>
      <w:bookmarkEnd w:id="147"/>
    </w:p>
    <w:p w14:paraId="059BCB2E" w14:textId="7A36CB76" w:rsidR="00FA32A8" w:rsidRDefault="000425B6" w:rsidP="002D5BF2">
      <w:pPr>
        <w:pStyle w:val="STNORMLN-2"/>
      </w:pPr>
      <w:r>
        <w:t>Podlahy a stěny v místnostech hygienického zařízení budou opatřeny voděvzdornou stěrkou.</w:t>
      </w:r>
    </w:p>
    <w:p w14:paraId="25C362F6" w14:textId="77777777" w:rsidR="000425B6" w:rsidRPr="00042F27" w:rsidRDefault="000425B6" w:rsidP="002D5BF2">
      <w:pPr>
        <w:pStyle w:val="STNORMLN-2"/>
      </w:pPr>
      <w:bookmarkStart w:id="148" w:name="_Toc18349079"/>
      <w:bookmarkStart w:id="149" w:name="_Toc18387917"/>
      <w:bookmarkStart w:id="150" w:name="_Toc24561580"/>
      <w:bookmarkStart w:id="151" w:name="_Toc24561685"/>
      <w:bookmarkEnd w:id="148"/>
      <w:r w:rsidRPr="00042F27">
        <w:t>Hydroizolace střechy</w:t>
      </w:r>
      <w:bookmarkEnd w:id="149"/>
      <w:bookmarkEnd w:id="150"/>
      <w:bookmarkEnd w:id="151"/>
    </w:p>
    <w:p w14:paraId="53B83CFA" w14:textId="77777777" w:rsidR="000425B6" w:rsidRDefault="000425B6" w:rsidP="002D5BF2">
      <w:pPr>
        <w:pStyle w:val="STNORMLN-2"/>
      </w:pPr>
      <w:r>
        <w:t xml:space="preserve">Na novém záklopu z prken bude položena parozábrana z SBS modifikovaného asfaltu s plošnou hmotností </w:t>
      </w:r>
      <w:r w:rsidRPr="0043304D">
        <w:t xml:space="preserve">4,54 kg/m². Faktor difúzního odporu 30000. Parotěsná vrstva bude vytažena na horní hranu atikové zdi. Na tepelné izolaci bude položená hydroizolace mechanicky kotvena pomoci teleskopické hmoždinky. Kotvení bude provedeno dle kotevního plánu. Způsob kotvení musí být pro konkrétní aplikace navržen tak, aby byla fólie zajištěna proti rozměrovým změnám a sání větru. </w:t>
      </w:r>
      <w:r>
        <w:t>Detaily budou provedeny podle montážních listů dodavatele systému.</w:t>
      </w:r>
    </w:p>
    <w:p w14:paraId="76C7C201" w14:textId="77777777" w:rsidR="000425B6" w:rsidRPr="00042F27" w:rsidRDefault="000425B6" w:rsidP="002D5BF2">
      <w:pPr>
        <w:pStyle w:val="STNORMLN-2"/>
      </w:pPr>
      <w:bookmarkStart w:id="152" w:name="_Toc18387918"/>
      <w:bookmarkStart w:id="153" w:name="_Toc24561581"/>
      <w:bookmarkStart w:id="154" w:name="_Toc24561686"/>
      <w:r w:rsidRPr="00042F27">
        <w:t>Izolace tepelné</w:t>
      </w:r>
      <w:bookmarkEnd w:id="152"/>
      <w:bookmarkEnd w:id="153"/>
      <w:bookmarkEnd w:id="154"/>
    </w:p>
    <w:p w14:paraId="686AA2E3" w14:textId="77777777" w:rsidR="000425B6" w:rsidRDefault="000425B6" w:rsidP="002D5BF2">
      <w:pPr>
        <w:pStyle w:val="STNORMLN-2"/>
      </w:pPr>
      <w:r>
        <w:t xml:space="preserve">Obvodové stěny se </w:t>
      </w:r>
      <w:r w:rsidRPr="0043304D">
        <w:t>zatepl</w:t>
      </w:r>
      <w:r>
        <w:t>í</w:t>
      </w:r>
      <w:r w:rsidRPr="0043304D">
        <w:t xml:space="preserve"> kontaktním zateplovacím systémem </w:t>
      </w:r>
      <w:r>
        <w:t xml:space="preserve">ve standardu </w:t>
      </w:r>
      <w:r w:rsidRPr="0043304D">
        <w:t>ETICS. Fasádní zateplovací systém</w:t>
      </w:r>
      <w:r w:rsidRPr="0043304D" w:rsidDel="00D82AA9">
        <w:t xml:space="preserve"> </w:t>
      </w:r>
      <w:r w:rsidRPr="0043304D">
        <w:t xml:space="preserve">bude dodán jako ucelený systém </w:t>
      </w:r>
      <w:r>
        <w:t>s</w:t>
      </w:r>
      <w:r w:rsidRPr="0043304D">
        <w:t xml:space="preserve"> certifikovan</w:t>
      </w:r>
      <w:r>
        <w:t>ou</w:t>
      </w:r>
      <w:r w:rsidRPr="0043304D">
        <w:t xml:space="preserve"> skladb</w:t>
      </w:r>
      <w:r>
        <w:t>ou</w:t>
      </w:r>
      <w:r w:rsidRPr="0043304D">
        <w:t>. Zateplovací systém</w:t>
      </w:r>
      <w:r>
        <w:t>, provedený na </w:t>
      </w:r>
      <w:r w:rsidRPr="0043304D">
        <w:t>stávající</w:t>
      </w:r>
      <w:r>
        <w:t>m</w:t>
      </w:r>
      <w:r w:rsidRPr="0043304D">
        <w:t xml:space="preserve"> řádně upravené</w:t>
      </w:r>
      <w:r>
        <w:t>m</w:t>
      </w:r>
      <w:r w:rsidRPr="0043304D">
        <w:t xml:space="preserve"> podkladu</w:t>
      </w:r>
      <w:r>
        <w:t>,</w:t>
      </w:r>
      <w:r w:rsidRPr="0043304D">
        <w:t xml:space="preserve"> se skládá z lepící hmoty, fasádního polystyrenu či vaty, stěrkové a výztužné vrstvy, penetrační vrstvy a venkovní tenkovrstvé omítky. Fasádní zateplovací systém bude dotažen k okennímu rámu v tloušťce 30</w:t>
      </w:r>
      <w:r>
        <w:t> </w:t>
      </w:r>
      <w:r w:rsidRPr="0043304D">
        <w:t>mm.</w:t>
      </w:r>
      <w:r>
        <w:t xml:space="preserve"> </w:t>
      </w:r>
      <w:r w:rsidRPr="0043304D">
        <w:t>Spodní část stavby bude izolována soklovými izolačními deskami s nízkou nasákavostí, vhodné do hloubky 3 m.</w:t>
      </w:r>
      <w:r>
        <w:t xml:space="preserve"> Jako tepelný izolant střešní konstrukce je použito zateplení z minerální vlny. Podlaha na terénu bude tepelně izolována s izolací z XPS. </w:t>
      </w:r>
      <w:r w:rsidRPr="0079201C">
        <w:t>Podrobnosti viz skladby konstrukcí.</w:t>
      </w:r>
      <w:r>
        <w:t xml:space="preserve"> Detaily budou provedeny podle montážních listů dodavatele systému.</w:t>
      </w:r>
    </w:p>
    <w:p w14:paraId="5DF7C87D" w14:textId="77777777" w:rsidR="000425B6" w:rsidRPr="00042F27" w:rsidRDefault="000425B6" w:rsidP="002D5BF2">
      <w:pPr>
        <w:pStyle w:val="STNORMLN-2"/>
      </w:pPr>
      <w:bookmarkStart w:id="155" w:name="_Toc18349082"/>
      <w:bookmarkStart w:id="156" w:name="_Toc18387919"/>
      <w:bookmarkStart w:id="157" w:name="_Toc24561582"/>
      <w:bookmarkStart w:id="158" w:name="_Toc24561687"/>
      <w:bookmarkEnd w:id="155"/>
      <w:r w:rsidRPr="00042F27">
        <w:t>Izolace akustické</w:t>
      </w:r>
      <w:bookmarkEnd w:id="156"/>
      <w:bookmarkEnd w:id="157"/>
      <w:bookmarkEnd w:id="158"/>
    </w:p>
    <w:p w14:paraId="05D33E14" w14:textId="77777777" w:rsidR="000425B6" w:rsidRDefault="000425B6" w:rsidP="002D5BF2">
      <w:pPr>
        <w:pStyle w:val="STNORMLN-2"/>
      </w:pPr>
      <w:r>
        <w:t>Kročejový útlum podlah v patře bude zajištěn s izolační deskou tl. 40 mm vhodnou pro zlepšení kročejové a vzduchové neprůzvučnosti podlah. Podrobnosti viz skladby konstrukcí.</w:t>
      </w:r>
    </w:p>
    <w:p w14:paraId="14013081" w14:textId="77777777" w:rsidR="000425B6" w:rsidRPr="00042F27" w:rsidRDefault="000425B6" w:rsidP="002D5BF2">
      <w:pPr>
        <w:pStyle w:val="STNORMLN-2"/>
      </w:pPr>
      <w:bookmarkStart w:id="159" w:name="_Toc18349084"/>
      <w:bookmarkStart w:id="160" w:name="_Toc18387920"/>
      <w:bookmarkStart w:id="161" w:name="_Toc24561583"/>
      <w:bookmarkStart w:id="162" w:name="_Toc24561688"/>
      <w:bookmarkEnd w:id="159"/>
      <w:r w:rsidRPr="00042F27">
        <w:t>Klempířské konstrukce</w:t>
      </w:r>
      <w:bookmarkEnd w:id="160"/>
      <w:bookmarkEnd w:id="161"/>
      <w:bookmarkEnd w:id="162"/>
    </w:p>
    <w:p w14:paraId="0CAE70ED" w14:textId="77777777" w:rsidR="000425B6" w:rsidRDefault="000425B6" w:rsidP="002D5BF2">
      <w:pPr>
        <w:pStyle w:val="STNORMLN-2"/>
      </w:pPr>
      <w:r>
        <w:t xml:space="preserve">Klempířské výrobky budou provedeny z pozinkovaného a poplastovaného plechu. Jedná se především o oplechování střechy, oplechování konstrukcí vystupujících nad rovinu střechy (komín apod.), střešní žlaby, svody a okapy, oplechování prvků fasády – vnější parapety atd. v souladu s příslušnou ČSN. Případně budou použity systémové prvky výrobce střešního pláště. </w:t>
      </w:r>
      <w:r w:rsidRPr="00F032FE">
        <w:t xml:space="preserve">Podrobnosti viz </w:t>
      </w:r>
      <w:r>
        <w:t>Tabulka klempířských výrobků</w:t>
      </w:r>
      <w:r w:rsidRPr="00F032FE">
        <w:t>.</w:t>
      </w:r>
    </w:p>
    <w:p w14:paraId="1B2EE015" w14:textId="77777777" w:rsidR="000425B6" w:rsidRPr="00042F27" w:rsidRDefault="000425B6" w:rsidP="002D5BF2">
      <w:pPr>
        <w:pStyle w:val="STNORMLN-2"/>
      </w:pPr>
      <w:bookmarkStart w:id="163" w:name="_Toc18349086"/>
      <w:bookmarkStart w:id="164" w:name="_Toc18387921"/>
      <w:bookmarkStart w:id="165" w:name="_Toc24561584"/>
      <w:bookmarkStart w:id="166" w:name="_Toc24561689"/>
      <w:bookmarkEnd w:id="163"/>
      <w:r w:rsidRPr="00042F27">
        <w:t>Truhlářské konstrukce</w:t>
      </w:r>
      <w:bookmarkEnd w:id="164"/>
      <w:bookmarkEnd w:id="165"/>
      <w:bookmarkEnd w:id="166"/>
    </w:p>
    <w:p w14:paraId="70575101" w14:textId="77777777" w:rsidR="000425B6" w:rsidRDefault="000425B6" w:rsidP="002D5BF2">
      <w:pPr>
        <w:pStyle w:val="STNORMLN-2"/>
      </w:pPr>
      <w:r>
        <w:t xml:space="preserve">Jedná se o kuchyňskou linku v čajové kuchyňce a vnitřní parapety výplní otvorů. </w:t>
      </w:r>
      <w:r w:rsidRPr="00F032FE">
        <w:t xml:space="preserve">Podrobnosti viz </w:t>
      </w:r>
      <w:r>
        <w:t>Tabulka truhlářských výrobků</w:t>
      </w:r>
      <w:r w:rsidRPr="00F032FE">
        <w:t>.</w:t>
      </w:r>
    </w:p>
    <w:p w14:paraId="60CB8939" w14:textId="77777777" w:rsidR="000425B6" w:rsidRPr="00042F27" w:rsidRDefault="000425B6" w:rsidP="002D5BF2">
      <w:pPr>
        <w:pStyle w:val="STNORMLN-2"/>
      </w:pPr>
      <w:bookmarkStart w:id="167" w:name="_Toc18349088"/>
      <w:bookmarkStart w:id="168" w:name="_Toc18387922"/>
      <w:bookmarkStart w:id="169" w:name="_Toc24561585"/>
      <w:bookmarkStart w:id="170" w:name="_Toc24561690"/>
      <w:bookmarkEnd w:id="167"/>
      <w:r w:rsidRPr="00042F27">
        <w:t>Zámečnické konstrukce</w:t>
      </w:r>
      <w:bookmarkEnd w:id="168"/>
      <w:bookmarkEnd w:id="169"/>
      <w:bookmarkEnd w:id="170"/>
    </w:p>
    <w:p w14:paraId="7B5C4544" w14:textId="77777777" w:rsidR="000425B6" w:rsidRDefault="000425B6" w:rsidP="002D5BF2">
      <w:pPr>
        <w:pStyle w:val="STNORMLN-2"/>
      </w:pPr>
      <w:r>
        <w:t xml:space="preserve">Jedná se o kovové zábradlí exteriérového schodiště, madlo vnitřního schodiště, bezpečnostní mříž, nosné rámy přípojkových skříní ve fasádě, ocelové překlady nových otvorů ve stávajících konstrukcích, šachtový poklop kanalizační revizní šachty, žebřík s ochranným košem a systém zachycení pádu na střeše. </w:t>
      </w:r>
      <w:r w:rsidRPr="00F032FE">
        <w:t xml:space="preserve">Podrobnosti viz </w:t>
      </w:r>
      <w:r>
        <w:t>Tabulka zámečnických výrobků</w:t>
      </w:r>
      <w:r w:rsidRPr="00F032FE">
        <w:t>.</w:t>
      </w:r>
    </w:p>
    <w:p w14:paraId="1DDA41AF" w14:textId="77777777" w:rsidR="000425B6" w:rsidRPr="00042F27" w:rsidRDefault="000425B6" w:rsidP="002D5BF2">
      <w:pPr>
        <w:pStyle w:val="STNORMLN-2"/>
      </w:pPr>
      <w:bookmarkStart w:id="171" w:name="_Toc18349090"/>
      <w:bookmarkStart w:id="172" w:name="_Toc18387923"/>
      <w:bookmarkStart w:id="173" w:name="_Toc24561586"/>
      <w:bookmarkStart w:id="174" w:name="_Toc24561691"/>
      <w:bookmarkEnd w:id="171"/>
      <w:r w:rsidRPr="00042F27">
        <w:t>Ostatní výrobky</w:t>
      </w:r>
      <w:bookmarkEnd w:id="172"/>
      <w:bookmarkEnd w:id="173"/>
      <w:bookmarkEnd w:id="174"/>
    </w:p>
    <w:p w14:paraId="59169357" w14:textId="477AE710" w:rsidR="000425B6" w:rsidRDefault="000425B6" w:rsidP="002D5BF2">
      <w:pPr>
        <w:pStyle w:val="STNORMLN-2"/>
      </w:pPr>
      <w:r>
        <w:t>Detailní popis je v Tabulce ostatních výrobků.</w:t>
      </w:r>
    </w:p>
    <w:p w14:paraId="50FF2C13" w14:textId="6F7DFFE6" w:rsidR="00B171E5" w:rsidRPr="002D5BF2" w:rsidRDefault="009158AF" w:rsidP="002D5BF2">
      <w:pPr>
        <w:pStyle w:val="STNORMLN-2"/>
        <w:rPr>
          <w:b/>
          <w:bCs/>
        </w:rPr>
      </w:pPr>
      <w:r w:rsidRPr="002D5BF2">
        <w:rPr>
          <w:b/>
          <w:bCs/>
        </w:rPr>
        <w:t>SO</w:t>
      </w:r>
      <w:r w:rsidR="00B171E5" w:rsidRPr="002D5BF2">
        <w:rPr>
          <w:b/>
          <w:bCs/>
        </w:rPr>
        <w:t xml:space="preserve"> 0202 Rekonstrukce oplocení</w:t>
      </w:r>
    </w:p>
    <w:p w14:paraId="20B7D05B" w14:textId="0EF0D59C" w:rsidR="00CA3713" w:rsidRDefault="00B171E5" w:rsidP="002D5BF2">
      <w:pPr>
        <w:pStyle w:val="STNORMLN-2"/>
      </w:pPr>
      <w:r>
        <w:t>Předmětem objektu je řešení repase stávajícího oplocení směrem k železnici a výměna v ostatních částech na hranici pozemku.</w:t>
      </w:r>
      <w:r w:rsidR="00CA3713">
        <w:t xml:space="preserve"> </w:t>
      </w:r>
      <w:r>
        <w:t xml:space="preserve">Původní repasovaní </w:t>
      </w:r>
      <w:r w:rsidR="00CA3713">
        <w:t>oplocení je z dřevěných planěk na nosné ocelové konstrukci. Stejný styl je potom navr</w:t>
      </w:r>
      <w:r w:rsidR="00345AA2">
        <w:t>ž</w:t>
      </w:r>
      <w:r w:rsidR="00CA3713">
        <w:t>en v ostatních částech, kde původní plot již dosloužil, nebo je pro účel budoucího využití pozemku příliš průhledný.</w:t>
      </w:r>
      <w:r w:rsidR="00345AA2">
        <w:t xml:space="preserve"> </w:t>
      </w:r>
    </w:p>
    <w:p w14:paraId="08E886CD" w14:textId="400AE89C" w:rsidR="00345AA2" w:rsidRDefault="00345AA2" w:rsidP="002D5BF2">
      <w:pPr>
        <w:pStyle w:val="STNORMLN-2"/>
      </w:pPr>
      <w:r>
        <w:t>Návrh uvažuje s</w:t>
      </w:r>
      <w:r w:rsidR="000B21BF">
        <w:t xml:space="preserve"> využitím </w:t>
      </w:r>
      <w:r>
        <w:t>repas</w:t>
      </w:r>
      <w:r w:rsidR="000B21BF">
        <w:t>ovaných</w:t>
      </w:r>
      <w:r>
        <w:t xml:space="preserve"> stávaj</w:t>
      </w:r>
      <w:r w:rsidR="000B21BF">
        <w:t>í</w:t>
      </w:r>
      <w:r>
        <w:t xml:space="preserve">cích </w:t>
      </w:r>
      <w:r w:rsidR="000B21BF">
        <w:t xml:space="preserve">nebo nových </w:t>
      </w:r>
      <w:r>
        <w:t xml:space="preserve">podezdívek </w:t>
      </w:r>
      <w:r w:rsidR="000B21BF">
        <w:t>na které se osadí jednotlivá pole nového plaňkového plotu.</w:t>
      </w:r>
    </w:p>
    <w:p w14:paraId="73708A9B" w14:textId="503C16F9" w:rsidR="000B21BF" w:rsidRDefault="000B21BF" w:rsidP="002D5BF2">
      <w:pPr>
        <w:pStyle w:val="STNORMLN-2"/>
      </w:pPr>
      <w:r>
        <w:t>Atypický plot je potom ve sodní zahradě, pod vzrostlým ořešákem, kde je vzhledem k prosvětlení pokoje ve spodním podlaží ponechán průhledný plot z žebírkového pletiva napnutého na ocelový rám.</w:t>
      </w:r>
    </w:p>
    <w:p w14:paraId="733BD1B6" w14:textId="01ADF5B3" w:rsidR="00CA3713" w:rsidRDefault="000B21BF" w:rsidP="002D5BF2">
      <w:pPr>
        <w:pStyle w:val="STNORMLN-2"/>
      </w:pPr>
      <w:r>
        <w:t>Součástí oplocení jsou i vstupní vrátka, kt</w:t>
      </w:r>
      <w:r w:rsidR="00372BE9">
        <w:t>e</w:t>
      </w:r>
      <w:r>
        <w:t>ré jsou navržena jako plaňková, zavěšena buď na</w:t>
      </w:r>
      <w:r w:rsidR="00372BE9">
        <w:t> </w:t>
      </w:r>
      <w:r>
        <w:t xml:space="preserve">stávajících betonových sloupcích </w:t>
      </w:r>
      <w:r w:rsidR="00372BE9">
        <w:t>nebo na nově osazených ocelových z tenkostěnných zavíčkovaných profilů.</w:t>
      </w:r>
    </w:p>
    <w:p w14:paraId="7C7E3069" w14:textId="600F6A97" w:rsidR="00CA3713" w:rsidRDefault="00372BE9" w:rsidP="002D5BF2">
      <w:pPr>
        <w:pStyle w:val="STNORMLN-2"/>
      </w:pPr>
      <w:r>
        <w:t xml:space="preserve">Pro umožnění výměny a repase plotu po celém obvodu pozemku je třeba provést vykácení náletové, případně popínavé dřevité </w:t>
      </w:r>
      <w:r w:rsidR="00605742">
        <w:t>vegetace,</w:t>
      </w:r>
      <w:r>
        <w:t xml:space="preserve"> a to včetně odstranění kořenových balů.</w:t>
      </w:r>
    </w:p>
    <w:p w14:paraId="0EA85656" w14:textId="5AEB2E66" w:rsidR="002C5D4B" w:rsidRPr="002D5BF2" w:rsidRDefault="002C5D4B" w:rsidP="002D5BF2">
      <w:pPr>
        <w:pStyle w:val="STodrkyabc"/>
      </w:pPr>
      <w:bookmarkStart w:id="175" w:name="_Toc24561587"/>
      <w:bookmarkStart w:id="176" w:name="_Toc24561692"/>
      <w:r w:rsidRPr="002D5BF2">
        <w:t>Konstrukční a materiálové řešení</w:t>
      </w:r>
      <w:bookmarkEnd w:id="175"/>
      <w:bookmarkEnd w:id="176"/>
    </w:p>
    <w:p w14:paraId="4199C500" w14:textId="77777777" w:rsidR="00E43400" w:rsidRDefault="00C9107E" w:rsidP="00605742">
      <w:pPr>
        <w:pStyle w:val="STNORMLN-2"/>
      </w:pPr>
      <w:r>
        <w:t xml:space="preserve">Stávající </w:t>
      </w:r>
      <w:r w:rsidR="009B271D">
        <w:t xml:space="preserve">o nově přistavovaná část </w:t>
      </w:r>
      <w:r>
        <w:t>budov</w:t>
      </w:r>
      <w:r w:rsidR="009B271D">
        <w:t>y</w:t>
      </w:r>
      <w:r>
        <w:t xml:space="preserve"> má stěnový nosný systém, jeho prvky jsou obvodov</w:t>
      </w:r>
      <w:r w:rsidR="009B271D">
        <w:t>é</w:t>
      </w:r>
      <w:r w:rsidR="0083658A">
        <w:t xml:space="preserve"> </w:t>
      </w:r>
      <w:r w:rsidR="00E43400">
        <w:t xml:space="preserve">zděné </w:t>
      </w:r>
      <w:r>
        <w:t>stěn</w:t>
      </w:r>
      <w:r w:rsidR="009B271D">
        <w:t>y</w:t>
      </w:r>
      <w:r>
        <w:t xml:space="preserve"> </w:t>
      </w:r>
      <w:r w:rsidR="009B271D">
        <w:t xml:space="preserve">doplňované </w:t>
      </w:r>
      <w:r>
        <w:t>jedn</w:t>
      </w:r>
      <w:r w:rsidR="009B271D">
        <w:t>ou ze st</w:t>
      </w:r>
      <w:r w:rsidR="00E43400">
        <w:t>ř</w:t>
      </w:r>
      <w:r w:rsidR="009B271D">
        <w:t>edových</w:t>
      </w:r>
      <w:r>
        <w:t>, p</w:t>
      </w:r>
      <w:r w:rsidR="0083658A">
        <w:t>r</w:t>
      </w:r>
      <w:r>
        <w:t>oc</w:t>
      </w:r>
      <w:r w:rsidR="0083658A">
        <w:t>h</w:t>
      </w:r>
      <w:r>
        <w:t>ázející d</w:t>
      </w:r>
      <w:r w:rsidR="0083658A">
        <w:t xml:space="preserve">omem od západu k východu. </w:t>
      </w:r>
      <w:r w:rsidR="00E43400">
        <w:t>Původní objekt je tak v podstatě dvoulodní směr východ západ. Tento systém je zachován a doplněn přístavba tvořící jenu loď směřující kolmo na dvě původní.</w:t>
      </w:r>
    </w:p>
    <w:p w14:paraId="2D8A1260" w14:textId="5BDDF110" w:rsidR="0083658A" w:rsidRDefault="0083658A" w:rsidP="00605742">
      <w:pPr>
        <w:pStyle w:val="STNORMLN-2"/>
      </w:pPr>
      <w:r>
        <w:t>Vodor</w:t>
      </w:r>
      <w:r w:rsidR="009B271D">
        <w:t>o</w:t>
      </w:r>
      <w:r>
        <w:t>vným nosným prvkem je železobeton</w:t>
      </w:r>
      <w:r w:rsidR="009B271D">
        <w:t>o</w:t>
      </w:r>
      <w:r>
        <w:t>v</w:t>
      </w:r>
      <w:r w:rsidR="009B271D">
        <w:t xml:space="preserve">ý trámový strop </w:t>
      </w:r>
      <w:r>
        <w:t>mezi suterénem a patrem. Střešní plášť nese klasický dřevěný trámový strop</w:t>
      </w:r>
      <w:r w:rsidR="00E43400">
        <w:t>, v přístavbě potom keramický skládaný z keramických vložek.</w:t>
      </w:r>
    </w:p>
    <w:p w14:paraId="116AC1C7" w14:textId="7328901A" w:rsidR="00A42883" w:rsidRDefault="00E43400" w:rsidP="00605742">
      <w:pPr>
        <w:pStyle w:val="STNORMLN-2"/>
      </w:pPr>
      <w:r>
        <w:t xml:space="preserve">Zdivo </w:t>
      </w:r>
      <w:r w:rsidR="00A42883">
        <w:t xml:space="preserve">je v úrovni každého podlaží svázáno buď </w:t>
      </w:r>
      <w:r w:rsidR="00372BE9">
        <w:t>stávajícími</w:t>
      </w:r>
      <w:r w:rsidR="00A42883">
        <w:t xml:space="preserve"> nebo novými železobetonovými věnci.</w:t>
      </w:r>
      <w:r>
        <w:t xml:space="preserve"> </w:t>
      </w:r>
    </w:p>
    <w:p w14:paraId="0CC23B0E" w14:textId="795D7552" w:rsidR="00E43400" w:rsidRDefault="00E43400" w:rsidP="00605742">
      <w:pPr>
        <w:pStyle w:val="STNORMLN-2"/>
      </w:pPr>
      <w:r>
        <w:t>Podrobnější materiálový popis je uveden v odstavcích výše.</w:t>
      </w:r>
    </w:p>
    <w:p w14:paraId="1E1409A3" w14:textId="11328BD8" w:rsidR="002C5D4B" w:rsidRPr="00F44CE1" w:rsidRDefault="002C5D4B" w:rsidP="002D5BF2">
      <w:pPr>
        <w:pStyle w:val="STodrkyabc"/>
        <w:rPr>
          <w:b/>
        </w:rPr>
      </w:pPr>
      <w:bookmarkStart w:id="177" w:name="_Toc24561588"/>
      <w:bookmarkStart w:id="178" w:name="_Toc24561693"/>
      <w:r w:rsidRPr="00F44CE1">
        <w:t>Mechanická odolnost a stabilita</w:t>
      </w:r>
      <w:bookmarkEnd w:id="177"/>
      <w:bookmarkEnd w:id="178"/>
    </w:p>
    <w:p w14:paraId="51C4C5A1" w14:textId="429ADE11" w:rsidR="00814832" w:rsidRDefault="002E166D" w:rsidP="002E166D">
      <w:pPr>
        <w:pStyle w:val="STNORMLN-2"/>
      </w:pPr>
      <w:r w:rsidRPr="002E166D">
        <w:rPr>
          <w:bCs/>
        </w:rPr>
        <w:t>Zvolené matriály vykazují dlouhodobou mechanickou odolnost.</w:t>
      </w:r>
      <w:r>
        <w:rPr>
          <w:bCs/>
        </w:rPr>
        <w:t xml:space="preserve"> Stavení úpravy původní budovy byly </w:t>
      </w:r>
      <w:proofErr w:type="gramStart"/>
      <w:r w:rsidR="00372BE9">
        <w:rPr>
          <w:bCs/>
        </w:rPr>
        <w:t>z</w:t>
      </w:r>
      <w:r>
        <w:rPr>
          <w:bCs/>
        </w:rPr>
        <w:t>voleny</w:t>
      </w:r>
      <w:proofErr w:type="gramEnd"/>
      <w:r>
        <w:rPr>
          <w:bCs/>
        </w:rPr>
        <w:t xml:space="preserve"> tak, aby neohrozily její stabilitu. Přístavba je nízká sestavená z jednoduchých stavebních prvků. </w:t>
      </w:r>
      <w:r w:rsidR="00A42883">
        <w:rPr>
          <w:bCs/>
        </w:rPr>
        <w:t>Všechny stávajíc</w:t>
      </w:r>
      <w:r>
        <w:rPr>
          <w:bCs/>
        </w:rPr>
        <w:t>í</w:t>
      </w:r>
      <w:r w:rsidR="00A42883">
        <w:rPr>
          <w:bCs/>
        </w:rPr>
        <w:t xml:space="preserve"> i navrhované nosné konstrukce byly ověřeny výpočtem a tvoří </w:t>
      </w:r>
      <w:r>
        <w:rPr>
          <w:bCs/>
        </w:rPr>
        <w:t xml:space="preserve">tak </w:t>
      </w:r>
      <w:r w:rsidR="00A42883">
        <w:rPr>
          <w:bCs/>
        </w:rPr>
        <w:t>stabilní celek.</w:t>
      </w:r>
      <w:r>
        <w:rPr>
          <w:bCs/>
        </w:rPr>
        <w:t xml:space="preserve"> </w:t>
      </w:r>
      <w:bookmarkStart w:id="179" w:name="_Toc18567059"/>
      <w:r w:rsidR="00814832" w:rsidRPr="00B83ED2">
        <w:t xml:space="preserve">Základní </w:t>
      </w:r>
      <w:r w:rsidR="00760A44" w:rsidRPr="00B83ED2">
        <w:t>popis technických a technologických zařízení</w:t>
      </w:r>
      <w:bookmarkEnd w:id="179"/>
      <w:r w:rsidR="00BD6FB3">
        <w:t>.</w:t>
      </w:r>
    </w:p>
    <w:p w14:paraId="7948EEB7" w14:textId="0B712AD1" w:rsidR="00BD6FB3" w:rsidRPr="00B83ED2" w:rsidRDefault="000D2EF5" w:rsidP="002D5BF2">
      <w:pPr>
        <w:pStyle w:val="STNADPIS2"/>
      </w:pPr>
      <w:bookmarkStart w:id="180" w:name="_Toc24561589"/>
      <w:bookmarkStart w:id="181" w:name="_Toc24561694"/>
      <w:bookmarkStart w:id="182" w:name="_Toc24641059"/>
      <w:r>
        <w:t>Základní charakteristika technických a technologických zařízení</w:t>
      </w:r>
      <w:bookmarkEnd w:id="180"/>
      <w:bookmarkEnd w:id="181"/>
      <w:bookmarkEnd w:id="182"/>
    </w:p>
    <w:p w14:paraId="04DE8F9A" w14:textId="4FEC05C6" w:rsidR="00814832" w:rsidRPr="00B83ED2" w:rsidRDefault="00190D08" w:rsidP="002D5BF2">
      <w:pPr>
        <w:pStyle w:val="STodrkyabc"/>
        <w:numPr>
          <w:ilvl w:val="0"/>
          <w:numId w:val="30"/>
        </w:numPr>
      </w:pPr>
      <w:bookmarkStart w:id="183" w:name="_Toc24561590"/>
      <w:bookmarkStart w:id="184" w:name="_Toc24561695"/>
      <w:r>
        <w:t>Vnitřní vodovod</w:t>
      </w:r>
      <w:bookmarkEnd w:id="183"/>
      <w:bookmarkEnd w:id="184"/>
    </w:p>
    <w:p w14:paraId="07738EDC" w14:textId="56C87FF1" w:rsidR="00E779B4" w:rsidRPr="00041ABB" w:rsidRDefault="00E779B4" w:rsidP="00041ABB">
      <w:pPr>
        <w:pStyle w:val="STNORMLN-2"/>
      </w:pPr>
      <w:r w:rsidRPr="004E62A9">
        <w:t xml:space="preserve">Hlavní ležaté rozvody studené vody, teplé vody a cirkulace budou vedeny pod stropem přízemí k jednotlivým vodovodním stoupačkám objektu. Na stoupačkách budou osazeny uzávěry s vypouštěním. </w:t>
      </w:r>
      <w:r w:rsidRPr="00041ABB">
        <w:t xml:space="preserve">Potrubí bude vedeno převážně pod stropem, v předstěnách nebo ve stěnách. Celý vodovodní systém bude vyspádován k zařizovacím předmětům nebo k vypouštěcím ventilům (kohoutům). Minimální sklon potrubí je </w:t>
      </w:r>
      <w:r w:rsidRPr="004E62A9">
        <w:t>0,3 %</w:t>
      </w:r>
      <w:r w:rsidRPr="00041ABB">
        <w:t xml:space="preserve">. Ke všem armaturám je nutné umožnit přístup – např. dvířka cca. 300x300 mm. Před každým zařizovacím předmětem, kromě nástěnných baterií, bude uzavírací </w:t>
      </w:r>
      <w:r w:rsidRPr="004E62A9">
        <w:t>armatura – rohový</w:t>
      </w:r>
      <w:r w:rsidRPr="00041ABB">
        <w:t xml:space="preserve"> ventil. Plastové potrubí musí umožnit délkovou dilataci potrubí. Kluzné ukotvení bude řešeno dle pokynů výrobce potrubí.</w:t>
      </w:r>
    </w:p>
    <w:p w14:paraId="68BCFB70" w14:textId="4D0DD2B8" w:rsidR="00E779B4" w:rsidRDefault="00190D08" w:rsidP="002D5BF2">
      <w:pPr>
        <w:pStyle w:val="STodrkyabc"/>
      </w:pPr>
      <w:bookmarkStart w:id="185" w:name="_Toc24561591"/>
      <w:bookmarkStart w:id="186" w:name="_Toc24561696"/>
      <w:r>
        <w:t xml:space="preserve">Vnitřní </w:t>
      </w:r>
      <w:r w:rsidR="002647FC">
        <w:t>kanalizace</w:t>
      </w:r>
      <w:bookmarkEnd w:id="185"/>
      <w:bookmarkEnd w:id="186"/>
    </w:p>
    <w:p w14:paraId="3745EE16" w14:textId="5DAABC5F" w:rsidR="00190D08" w:rsidRDefault="00190D08" w:rsidP="00041ABB">
      <w:pPr>
        <w:pStyle w:val="STNORMLN-2"/>
      </w:pPr>
      <w:bookmarkStart w:id="187" w:name="_Hlk18415349"/>
      <w:r>
        <w:t>Vnitřní kanalizační soustava navrhovaného objektu bytového domu je navržena jako oddílná. Splaškové odpadní vody budou z navrhovaného bytového domu odvedeny gravitačně běžným způsobem pomocí svislých odpadů, do kterých budou zaústěny připojovací potrubí od zařizovacích předmětů a ležatých kanalizačních svodů. Odpadní potrubí budou vyvedena nad střechu a ukončena ventilačními hlavicemi. Ležaté splaškové kanalizační svody budou zaústěny pod podlahou objektu do kanalizační přípojky DN150 mm.</w:t>
      </w:r>
      <w:bookmarkEnd w:id="187"/>
      <w:r>
        <w:t xml:space="preserve"> Kanalizační přípojka je řešena v samostatné dokumentaci. Čištění vnitřní splaškové kanalizace umožní osazené čistící kusy na</w:t>
      </w:r>
      <w:r w:rsidR="00372BE9">
        <w:t> </w:t>
      </w:r>
      <w:r>
        <w:t xml:space="preserve">svislých odpadech a ležatém svodu. V technické místnosti bude zřízena </w:t>
      </w:r>
      <w:r w:rsidR="00372BE9">
        <w:t>podlahová vpusť</w:t>
      </w:r>
      <w:r>
        <w:t xml:space="preserve"> pro</w:t>
      </w:r>
      <w:r w:rsidR="00372BE9">
        <w:t> </w:t>
      </w:r>
      <w:r>
        <w:t>odvodnění technologie.</w:t>
      </w:r>
    </w:p>
    <w:p w14:paraId="10CB85E1" w14:textId="6E6D0F58" w:rsidR="00190D08" w:rsidRDefault="00190D08" w:rsidP="00041ABB">
      <w:pPr>
        <w:pStyle w:val="STNORMLN-2"/>
      </w:pPr>
      <w:r>
        <w:t xml:space="preserve">Srážkové vody ze střech budou sváděny dešťovou kanalizací do vsakovacího objektu na pozemku. Vsakovací objekt je řešen v samostatné dokumentaci. Dešťové vody ze střechy objektu budou odvedeny vnějšími svislými odpady a ležatými dešťovými svody PVC125 mm - 160 mm do vsakovacího objektu. Čištění dešťové kanalizace umožní lapače splavenin. </w:t>
      </w:r>
    </w:p>
    <w:p w14:paraId="062B5436" w14:textId="3C5A835F" w:rsidR="00E779B4" w:rsidRPr="00B83ED2" w:rsidRDefault="00190D08" w:rsidP="002D5BF2">
      <w:pPr>
        <w:pStyle w:val="STodrkyabc"/>
      </w:pPr>
      <w:bookmarkStart w:id="188" w:name="_Toc24561592"/>
      <w:bookmarkStart w:id="189" w:name="_Toc24561697"/>
      <w:r>
        <w:t>Plynovod</w:t>
      </w:r>
      <w:bookmarkEnd w:id="188"/>
      <w:bookmarkEnd w:id="189"/>
    </w:p>
    <w:p w14:paraId="4946E943" w14:textId="3EB588CE" w:rsidR="00190D08" w:rsidRPr="00041ABB" w:rsidRDefault="00190D08" w:rsidP="00041ABB">
      <w:pPr>
        <w:pStyle w:val="STNORMLN-2"/>
      </w:pPr>
      <w:r>
        <w:rPr>
          <w:noProof/>
          <w:lang w:eastAsia="cs-CZ"/>
        </w:rPr>
        <w:t xml:space="preserve">Stávající instalace plynu v objektu je provedena včetně regulace a měření až do místnosti </w:t>
      </w:r>
      <w:r w:rsidR="002647FC">
        <w:rPr>
          <w:noProof/>
          <w:lang w:eastAsia="cs-CZ"/>
        </w:rPr>
        <w:br/>
      </w:r>
      <w:r>
        <w:rPr>
          <w:noProof/>
          <w:lang w:eastAsia="cs-CZ"/>
        </w:rPr>
        <w:t xml:space="preserve">010 – Technická místnost, v které bude osazen nový plynový kondenzační kotel. Revizní technik dodavatele posoudí stav stávajícího rozvodu plynu a v případě, že bude nevyhovující bude provedena nová instalace. V případě, že bude vyhovující bude pouze dopojen plynovod DN 15 pod kotel s osazením KK 15. </w:t>
      </w:r>
      <w:r w:rsidRPr="00041ABB">
        <w:t>Zemní plyn bude používán pro vytápění a nepřímou přípravu TUV</w:t>
      </w:r>
      <w:r>
        <w:t>.</w:t>
      </w:r>
    </w:p>
    <w:p w14:paraId="4B46DF7E" w14:textId="34477F0B" w:rsidR="00190D08" w:rsidRDefault="00190D08" w:rsidP="00041ABB">
      <w:pPr>
        <w:pStyle w:val="STNORMLN-2"/>
      </w:pPr>
      <w:r>
        <w:t>Na vnitřní rozvod plynu jsou použity ocelové trubky hladké černé, ČSN 425715.0 - jak. mat.11 353.0, se svařovanými spoji. Celý vnitřní rozvod plynu se opatří 1 x základním antikorozním nátěrem a 2 x rozlišovacím olejovým nátěrem, dle ČSN 130072, odstín žlutá. Plynovod bude veden po povrchu min 100</w:t>
      </w:r>
      <w:r w:rsidR="009429C2">
        <w:t xml:space="preserve"> </w:t>
      </w:r>
      <w:r>
        <w:t>mm od stavebních konstrukcí.</w:t>
      </w:r>
    </w:p>
    <w:p w14:paraId="6937BFD0" w14:textId="3BB61D3D" w:rsidR="00814832" w:rsidRPr="00B83ED2" w:rsidRDefault="00F31E23" w:rsidP="002D5BF2">
      <w:pPr>
        <w:pStyle w:val="STodrkyabc"/>
      </w:pPr>
      <w:bookmarkStart w:id="190" w:name="_Toc24561593"/>
      <w:bookmarkStart w:id="191" w:name="_Toc24561698"/>
      <w:r w:rsidRPr="00B83ED2">
        <w:t>Vytápění</w:t>
      </w:r>
      <w:bookmarkEnd w:id="190"/>
      <w:bookmarkEnd w:id="191"/>
    </w:p>
    <w:p w14:paraId="032BCEC1" w14:textId="0A9CF4BA" w:rsidR="00F31E23" w:rsidRDefault="009429C2" w:rsidP="009429C2">
      <w:pPr>
        <w:pStyle w:val="STNORMLN-2"/>
        <w:rPr>
          <w:rFonts w:cs="Segoe UI"/>
        </w:rPr>
      </w:pPr>
      <w:r>
        <w:t xml:space="preserve">Potřeba tepla pro vytápění a ohřev teplé vody bude řešena pomocí nástěnného plynového kondenzačního kotle s regulovatelným výkonem 1,9-19,0 kW při teplotním spádu 50/30°C. </w:t>
      </w:r>
      <w:bookmarkStart w:id="192" w:name="_Hlk18415527"/>
      <w:r>
        <w:t xml:space="preserve">Kotel a zásobník teplé vody budou umístěny v technické místnosti. Odtah spalin a přívod spalovacího vzduchu bude proveden pomocí koaxiálního potrubí o průměru 60/100 mm. Potrubí bude vedeno od kotle do komínového průduchu a vevedeno nad střechu objektu, kde bude ukončeno pomocí střešní hlavice. </w:t>
      </w:r>
      <w:r>
        <w:rPr>
          <w:rFonts w:cs="Segoe UI"/>
        </w:rPr>
        <w:t>B</w:t>
      </w:r>
      <w:r w:rsidRPr="00B83ED2">
        <w:rPr>
          <w:rFonts w:cs="Segoe UI"/>
        </w:rPr>
        <w:t>ude instalov</w:t>
      </w:r>
      <w:r>
        <w:rPr>
          <w:rFonts w:cs="Segoe UI"/>
        </w:rPr>
        <w:t>áno</w:t>
      </w:r>
      <w:r w:rsidRPr="00B83ED2">
        <w:rPr>
          <w:rFonts w:cs="Segoe UI"/>
        </w:rPr>
        <w:t xml:space="preserve"> podlahové vytápění</w:t>
      </w:r>
      <w:r>
        <w:rPr>
          <w:rFonts w:cs="Segoe UI"/>
        </w:rPr>
        <w:t xml:space="preserve"> v celém objektu, radiátory nejsou v řešených prostorech z bezpečnostních důvodů povoleny. </w:t>
      </w:r>
      <w:r w:rsidRPr="009429C2">
        <w:rPr>
          <w:rFonts w:cs="Segoe UI"/>
        </w:rPr>
        <w:t>V</w:t>
      </w:r>
      <w:r w:rsidR="004D0093">
        <w:rPr>
          <w:rFonts w:cs="Segoe UI"/>
        </w:rPr>
        <w:t> </w:t>
      </w:r>
      <w:r w:rsidRPr="009429C2">
        <w:rPr>
          <w:rFonts w:cs="Segoe UI"/>
        </w:rPr>
        <w:t>koupelnách</w:t>
      </w:r>
      <w:r w:rsidR="004D0093">
        <w:rPr>
          <w:rFonts w:cs="Segoe UI"/>
        </w:rPr>
        <w:t xml:space="preserve">, </w:t>
      </w:r>
      <w:r w:rsidRPr="009429C2">
        <w:rPr>
          <w:rFonts w:cs="Segoe UI"/>
        </w:rPr>
        <w:t>na</w:t>
      </w:r>
      <w:r w:rsidR="004D0093">
        <w:rPr>
          <w:rFonts w:cs="Segoe UI"/>
        </w:rPr>
        <w:t> </w:t>
      </w:r>
      <w:r w:rsidRPr="009429C2">
        <w:rPr>
          <w:rFonts w:cs="Segoe UI"/>
        </w:rPr>
        <w:t>úrovni přízemí bude k podlahovému vytápění provedeno dále stěnového vytápění pro</w:t>
      </w:r>
      <w:r w:rsidR="004D0093">
        <w:rPr>
          <w:rFonts w:cs="Segoe UI"/>
        </w:rPr>
        <w:t> </w:t>
      </w:r>
      <w:r w:rsidRPr="009429C2">
        <w:rPr>
          <w:rFonts w:cs="Segoe UI"/>
        </w:rPr>
        <w:t>dosažení požadované teploty.</w:t>
      </w:r>
      <w:bookmarkEnd w:id="192"/>
      <w:r w:rsidRPr="009429C2">
        <w:rPr>
          <w:rFonts w:cs="Segoe UI"/>
        </w:rPr>
        <w:t xml:space="preserve"> Stěnové okruhy pod omítkou budou provedeny </w:t>
      </w:r>
      <w:r w:rsidR="004D0093">
        <w:rPr>
          <w:rFonts w:cs="Segoe UI"/>
        </w:rPr>
        <w:t xml:space="preserve">pomocí </w:t>
      </w:r>
      <w:r w:rsidRPr="009429C2">
        <w:rPr>
          <w:rFonts w:cs="Segoe UI"/>
        </w:rPr>
        <w:t>vícevrstvé trubky 8x1 mm, které</w:t>
      </w:r>
      <w:r>
        <w:rPr>
          <w:rFonts w:cs="Segoe UI"/>
        </w:rPr>
        <w:t xml:space="preserve"> </w:t>
      </w:r>
      <w:r w:rsidRPr="009429C2">
        <w:rPr>
          <w:rFonts w:cs="Segoe UI"/>
        </w:rPr>
        <w:t>budou zapojeny do sběrného potrubí 16x2 mm a napojeny na rozdělovač vytápění.</w:t>
      </w:r>
    </w:p>
    <w:p w14:paraId="2B7A3498" w14:textId="67FD395F" w:rsidR="00FA32A8" w:rsidRPr="00B83ED2" w:rsidRDefault="009429C2" w:rsidP="004E62A9">
      <w:pPr>
        <w:pStyle w:val="STNORMLN-2"/>
        <w:rPr>
          <w:rFonts w:cs="Segoe UI"/>
        </w:rPr>
      </w:pPr>
      <w:r w:rsidRPr="009429C2">
        <w:rPr>
          <w:rFonts w:cs="Segoe UI"/>
        </w:rPr>
        <w:t>Teplá voda bude připravována v nepřímotopném zásobník o velikosti 200 litrů. Ohřev TV má prioritu před</w:t>
      </w:r>
      <w:r>
        <w:rPr>
          <w:rFonts w:cs="Segoe UI"/>
        </w:rPr>
        <w:t xml:space="preserve"> </w:t>
      </w:r>
      <w:r w:rsidRPr="009429C2">
        <w:rPr>
          <w:rFonts w:cs="Segoe UI"/>
        </w:rPr>
        <w:t>vytápěním, což je řešeno pomocí třícestného ventilu se servopohonem, který je součástí plynového kotle.</w:t>
      </w:r>
      <w:r>
        <w:rPr>
          <w:rFonts w:cs="Segoe UI"/>
        </w:rPr>
        <w:t xml:space="preserve"> </w:t>
      </w:r>
      <w:r w:rsidRPr="009429C2">
        <w:rPr>
          <w:rFonts w:cs="Segoe UI"/>
        </w:rPr>
        <w:t>Ovládání ventilu je řešeno v rámci regulace kotle.</w:t>
      </w:r>
    </w:p>
    <w:p w14:paraId="2CDBA965" w14:textId="2A4413FE" w:rsidR="00036C57" w:rsidRPr="00B83ED2" w:rsidRDefault="00ED5902" w:rsidP="002D5BF2">
      <w:pPr>
        <w:pStyle w:val="STodrkyabc"/>
      </w:pPr>
      <w:bookmarkStart w:id="193" w:name="_Toc24561594"/>
      <w:bookmarkStart w:id="194" w:name="_Toc24561699"/>
      <w:r w:rsidRPr="00B83ED2">
        <w:t>Vzduchotechnika</w:t>
      </w:r>
      <w:bookmarkEnd w:id="193"/>
      <w:bookmarkEnd w:id="194"/>
      <w:r w:rsidRPr="00B83ED2">
        <w:t xml:space="preserve"> </w:t>
      </w:r>
    </w:p>
    <w:p w14:paraId="25F121BD" w14:textId="7F569602" w:rsidR="00C148E9" w:rsidRPr="004E62A9" w:rsidRDefault="00F03471" w:rsidP="004E62A9">
      <w:pPr>
        <w:pStyle w:val="STNORMLN-2"/>
      </w:pPr>
      <w:bookmarkStart w:id="195" w:name="_Hlk14192328"/>
      <w:bookmarkStart w:id="196" w:name="_Hlk18415555"/>
      <w:r w:rsidRPr="004E62A9">
        <w:rPr>
          <w:rFonts w:cs="Segoe UI"/>
        </w:rPr>
        <w:t>Pokoje budou vybavené nuceným větráním</w:t>
      </w:r>
      <w:r w:rsidR="004D0AB2" w:rsidRPr="004E62A9">
        <w:rPr>
          <w:rFonts w:cs="Segoe UI"/>
        </w:rPr>
        <w:t>.</w:t>
      </w:r>
      <w:r w:rsidRPr="004E62A9">
        <w:rPr>
          <w:rFonts w:cs="Segoe UI"/>
        </w:rPr>
        <w:t xml:space="preserve"> </w:t>
      </w:r>
      <w:bookmarkEnd w:id="195"/>
      <w:r w:rsidR="00C148E9" w:rsidRPr="004E62A9">
        <w:rPr>
          <w:rFonts w:cs="Segoe UI"/>
        </w:rPr>
        <w:t xml:space="preserve"> </w:t>
      </w:r>
      <w:r w:rsidR="00C148E9" w:rsidRPr="004E62A9">
        <w:t>V prostoru technické místnosti bude pod stropem umístěna VZT jednotka se zpětným získáváním tepla, která bude zajišťovat přívod a odvod vzduchu v závislosti na požadavcích jednotlivých místností.</w:t>
      </w:r>
      <w:r w:rsidR="00C148E9">
        <w:t xml:space="preserve"> </w:t>
      </w:r>
      <w:bookmarkEnd w:id="196"/>
      <w:r w:rsidR="00C148E9">
        <w:t>Potrubní rozvody budou provedeny z ocelového pozinkovaného spiro potrubí opatřeného příslušným typem izolace. Jako distribuční elementy jsou uvažovány talířové ventily, napojené na páteřní rozvod pomocí pružného flexo potrubí s útlumem hluku (pro pokoje klientů minimálně 1bm pro zajištění finálního dotlumení).  Nasávací a výfukové potrubí bude parotěsně izolováno. Filtrace vzduchu nad varnou plochou kuchyňské linky bude zajištěna pomocí běžné bytové digestoře.</w:t>
      </w:r>
    </w:p>
    <w:p w14:paraId="4C9BC7F2" w14:textId="77777777" w:rsidR="00C148E9" w:rsidRPr="00F44CE1" w:rsidRDefault="00C148E9" w:rsidP="002D5BF2">
      <w:pPr>
        <w:pStyle w:val="STodrkyabc"/>
      </w:pPr>
      <w:bookmarkStart w:id="197" w:name="_Toc24561595"/>
      <w:bookmarkStart w:id="198" w:name="_Toc24561700"/>
      <w:r w:rsidRPr="00F44CE1">
        <w:t>Zařízení silnoproudé elektrotechniky</w:t>
      </w:r>
      <w:bookmarkEnd w:id="197"/>
      <w:bookmarkEnd w:id="198"/>
    </w:p>
    <w:p w14:paraId="2D9085A6" w14:textId="3EAE093F" w:rsidR="00C148E9" w:rsidRDefault="00C148E9" w:rsidP="00C148E9">
      <w:pPr>
        <w:pStyle w:val="STNORMLN-2"/>
      </w:pPr>
      <w:r>
        <w:t>Návrh základního osvětlení zpracován dle ČSN EN 12 464 a zadání investora.</w:t>
      </w:r>
    </w:p>
    <w:p w14:paraId="1C640587" w14:textId="77777777" w:rsidR="00C148E9" w:rsidRDefault="00C148E9" w:rsidP="00C148E9">
      <w:pPr>
        <w:pStyle w:val="STNORMLN-2"/>
      </w:pPr>
      <w:r>
        <w:t>Návrh je členěn do kategorií podle užití místností a prostor následovně:</w:t>
      </w:r>
    </w:p>
    <w:p w14:paraId="4434C5D0" w14:textId="151C331A" w:rsidR="00C148E9" w:rsidRDefault="00C148E9" w:rsidP="00041ABB">
      <w:pPr>
        <w:pStyle w:val="STODRKY"/>
      </w:pPr>
      <w:r>
        <w:t>místnosti pokojů a chodeb s přístupem klientů (autistů), osazeny vestavná LED svítidla v</w:t>
      </w:r>
      <w:r w:rsidR="004D0093">
        <w:t xml:space="preserve"> provedení </w:t>
      </w:r>
      <w:r>
        <w:t>antivandal</w:t>
      </w:r>
      <w:r w:rsidR="004D0093">
        <w:t>,</w:t>
      </w:r>
      <w:r>
        <w:t xml:space="preserve"> s možností DALi stmívání</w:t>
      </w:r>
    </w:p>
    <w:p w14:paraId="37959820" w14:textId="0939BA24" w:rsidR="00C148E9" w:rsidRDefault="00C148E9" w:rsidP="00041ABB">
      <w:pPr>
        <w:pStyle w:val="STODRKY"/>
      </w:pPr>
      <w:r>
        <w:t>kancelář: vestavná svítidla 600x600 mm</w:t>
      </w:r>
    </w:p>
    <w:p w14:paraId="00F9DC1F" w14:textId="06A6B845" w:rsidR="00C148E9" w:rsidRDefault="00C148E9" w:rsidP="00041ABB">
      <w:pPr>
        <w:pStyle w:val="STODRKY"/>
      </w:pPr>
      <w:r>
        <w:t>technické místnosti, sklady bez přístupu klientů: průmyslová LED svítidla</w:t>
      </w:r>
    </w:p>
    <w:p w14:paraId="0C7E323C" w14:textId="44F7E397" w:rsidR="00C148E9" w:rsidRDefault="00C148E9" w:rsidP="00041ABB">
      <w:pPr>
        <w:pStyle w:val="STODRKY"/>
      </w:pPr>
      <w:r>
        <w:t>venkovní prostory: nástěnná LED svítidla</w:t>
      </w:r>
    </w:p>
    <w:p w14:paraId="7A0D0A4E" w14:textId="4344D57B" w:rsidR="00C148E9" w:rsidRDefault="00C148E9" w:rsidP="00C148E9">
      <w:pPr>
        <w:pStyle w:val="STODRKY"/>
      </w:pPr>
      <w:r>
        <w:t>WC a koupelny: s přístupem klientů vestavná antivandal svítidla, nad umyvadlem liniové antivandal svítidlo, prostory bez přístupu klientů kruhová vestavná svítidla</w:t>
      </w:r>
    </w:p>
    <w:p w14:paraId="7901932B" w14:textId="0190C41D" w:rsidR="00C148E9" w:rsidRDefault="00C148E9" w:rsidP="00C148E9">
      <w:pPr>
        <w:pStyle w:val="STNORMLN-2"/>
      </w:pPr>
      <w:r>
        <w:t>Rozvody v objektu budou provedeny měděnými kabely. Všechny rozvody budou vedeny pod omítkou, v technických místnostech mohou být rozvody vedeny na povrchu v pevných PVC trubkách a v kabelových žlabech.</w:t>
      </w:r>
    </w:p>
    <w:p w14:paraId="7F35BE62" w14:textId="77777777" w:rsidR="00C148E9" w:rsidRDefault="00C148E9" w:rsidP="00041ABB">
      <w:pPr>
        <w:pStyle w:val="STNORMLN-2"/>
      </w:pPr>
      <w:r>
        <w:t>Způsob ovládání svítidel členěn podle užití následovně:</w:t>
      </w:r>
    </w:p>
    <w:p w14:paraId="4BD5BA86" w14:textId="77777777" w:rsidR="00C148E9" w:rsidRDefault="00C148E9" w:rsidP="00041ABB">
      <w:pPr>
        <w:pStyle w:val="STODRKY"/>
      </w:pPr>
      <w:r>
        <w:t>pokoje klientů ovládány zevnitř tlačítkem on/off, zvenčí stmívačem s regulací intenzity daného okruhu, vnější regulace má přednost před vnitřním ovládáním</w:t>
      </w:r>
    </w:p>
    <w:p w14:paraId="61618982" w14:textId="77777777" w:rsidR="00C148E9" w:rsidRDefault="00C148E9" w:rsidP="00041ABB">
      <w:pPr>
        <w:pStyle w:val="STODRKY"/>
      </w:pPr>
      <w:r>
        <w:t>chodby: spínány tlačítky z více míst, pozice dle výkresů</w:t>
      </w:r>
    </w:p>
    <w:p w14:paraId="75E53077" w14:textId="77777777" w:rsidR="00C148E9" w:rsidRDefault="00C148E9" w:rsidP="00041ABB">
      <w:pPr>
        <w:pStyle w:val="STODRKY"/>
      </w:pPr>
      <w:r>
        <w:t>ostatní vnitřní prostory: kolébkové ovládače</w:t>
      </w:r>
    </w:p>
    <w:p w14:paraId="7481492D" w14:textId="77777777" w:rsidR="00C148E9" w:rsidRDefault="00C148E9" w:rsidP="00041ABB">
      <w:pPr>
        <w:pStyle w:val="STODRKY"/>
      </w:pPr>
      <w:r>
        <w:t>vnější prostory: ovládání pohybovými senzory, s možností trvalého zapnutí ručním ovládačem</w:t>
      </w:r>
    </w:p>
    <w:p w14:paraId="4CB4D65F" w14:textId="4FE66206" w:rsidR="00C148E9" w:rsidRPr="007849AB" w:rsidRDefault="00C148E9" w:rsidP="002D5BF2">
      <w:pPr>
        <w:pStyle w:val="STodrkyabc"/>
      </w:pPr>
      <w:bookmarkStart w:id="199" w:name="_Toc24561596"/>
      <w:bookmarkStart w:id="200" w:name="_Toc24561701"/>
      <w:r w:rsidRPr="007849AB">
        <w:t>Zařízení s</w:t>
      </w:r>
      <w:r>
        <w:t>laboproudé</w:t>
      </w:r>
      <w:r w:rsidRPr="007849AB">
        <w:t xml:space="preserve"> elektrotechniky</w:t>
      </w:r>
      <w:bookmarkEnd w:id="199"/>
      <w:bookmarkEnd w:id="200"/>
    </w:p>
    <w:p w14:paraId="10CF2DCE" w14:textId="77777777" w:rsidR="00C148E9" w:rsidRDefault="00C148E9" w:rsidP="00041ABB">
      <w:pPr>
        <w:pStyle w:val="STNORMLN-2"/>
      </w:pPr>
      <w:r>
        <w:t>Objekt bude plošně vybaven následujícími slaboproudými systémy:</w:t>
      </w:r>
    </w:p>
    <w:p w14:paraId="771CEBFC" w14:textId="77777777" w:rsidR="00C148E9" w:rsidRDefault="00C148E9" w:rsidP="00041ABB">
      <w:pPr>
        <w:pStyle w:val="STODRKY"/>
      </w:pPr>
      <w:r>
        <w:t>Datová a telefonní síť</w:t>
      </w:r>
    </w:p>
    <w:p w14:paraId="2B960C92" w14:textId="77777777" w:rsidR="00C148E9" w:rsidRDefault="00C148E9" w:rsidP="00041ABB">
      <w:pPr>
        <w:pStyle w:val="STODRKY"/>
      </w:pPr>
      <w:r>
        <w:t>TV rozvody včetně lokálního ozvučení a AV technika</w:t>
      </w:r>
    </w:p>
    <w:p w14:paraId="366D17C7" w14:textId="77777777" w:rsidR="00C148E9" w:rsidRDefault="00C148E9" w:rsidP="00041ABB">
      <w:pPr>
        <w:pStyle w:val="STODRKY"/>
      </w:pPr>
      <w:r>
        <w:t>Elektrická zabezpečovací signalizace (EZS)</w:t>
      </w:r>
    </w:p>
    <w:p w14:paraId="3D8B9739" w14:textId="77777777" w:rsidR="00C148E9" w:rsidRDefault="00C148E9" w:rsidP="00041ABB">
      <w:pPr>
        <w:pStyle w:val="STNORMLN-2"/>
      </w:pPr>
      <w:r>
        <w:t>Lokálně bude objekt vybaven:</w:t>
      </w:r>
    </w:p>
    <w:p w14:paraId="2F35386E" w14:textId="77777777" w:rsidR="00C148E9" w:rsidRDefault="00C148E9" w:rsidP="00041ABB">
      <w:pPr>
        <w:pStyle w:val="STODRKY"/>
      </w:pPr>
      <w:r>
        <w:t>Domovní zvonek z ulice</w:t>
      </w:r>
    </w:p>
    <w:p w14:paraId="5AEC1EE6" w14:textId="37C5B593" w:rsidR="00FA32A8" w:rsidRDefault="00C148E9" w:rsidP="00F44CE1">
      <w:pPr>
        <w:pStyle w:val="STODRKY"/>
      </w:pPr>
      <w:r>
        <w:t>Systém nouzového volání</w:t>
      </w:r>
    </w:p>
    <w:p w14:paraId="1DFF08EB" w14:textId="30767DFC" w:rsidR="00814832" w:rsidRPr="00B83ED2" w:rsidRDefault="00814832" w:rsidP="002D5BF2">
      <w:pPr>
        <w:pStyle w:val="STNADPIS2"/>
      </w:pPr>
      <w:bookmarkStart w:id="201" w:name="_Toc14257800"/>
      <w:bookmarkStart w:id="202" w:name="_Toc14335655"/>
      <w:bookmarkStart w:id="203" w:name="_Toc14445668"/>
      <w:bookmarkStart w:id="204" w:name="_Toc18567060"/>
      <w:bookmarkStart w:id="205" w:name="_Toc24561597"/>
      <w:bookmarkStart w:id="206" w:name="_Toc24561702"/>
      <w:bookmarkStart w:id="207" w:name="_Toc24641060"/>
      <w:bookmarkEnd w:id="201"/>
      <w:bookmarkEnd w:id="202"/>
      <w:bookmarkEnd w:id="203"/>
      <w:r w:rsidRPr="00B83ED2">
        <w:t>Zásady požárně bezpečnostního řešení</w:t>
      </w:r>
      <w:bookmarkEnd w:id="204"/>
      <w:bookmarkEnd w:id="205"/>
      <w:bookmarkEnd w:id="206"/>
      <w:bookmarkEnd w:id="207"/>
    </w:p>
    <w:p w14:paraId="7702B999" w14:textId="07BD9953" w:rsidR="00904061" w:rsidRDefault="00904061" w:rsidP="00041ABB">
      <w:pPr>
        <w:pStyle w:val="STNORMLN-2"/>
        <w:rPr>
          <w:rFonts w:ascii="Tahoma" w:hAnsi="Tahoma" w:cs="Tahoma"/>
          <w:sz w:val="18"/>
          <w:szCs w:val="18"/>
        </w:rPr>
      </w:pPr>
      <w:r w:rsidRPr="00904061">
        <w:t>Požárně bezpečnostní řešení je navrženo v souladu s § 2 vyhlášky MV č.23/2008 Sb. a v souladu s § 41 odstavec 1 vyhlášky MV 246/2001 Sb.</w:t>
      </w:r>
      <w:r>
        <w:t xml:space="preserve"> </w:t>
      </w:r>
      <w:r w:rsidRPr="003813B7">
        <w:t>Dle čl. 3.1 c) ČSN 73 0833 se jedná o jednu obytnou buňku se samostatnými pokoji (pokoje bez sociálního zázemí) a společným sociálním pobytovým prostorem pro celkem 7 osob (6 osob s postižením + jeden asistent). Vzhledem k počtu obytných buněk se objekt jako celkem bude i nadále posuzovat jako rodinný dům, tedy objet kategorie OB 1 v souladu s čl. 3.5 a) ČSN 73 0833.</w:t>
      </w:r>
      <w:r w:rsidRPr="00904061">
        <w:t xml:space="preserve"> </w:t>
      </w:r>
      <w:r w:rsidRPr="00041ABB">
        <w:t>Rodinný dům nemusí být vybaven EPS, SOZ ani SHZ, není vyžadováno ČSN 73 0802 a čl. 5.5 ČSN 73 0833.</w:t>
      </w:r>
      <w:r>
        <w:t xml:space="preserve"> </w:t>
      </w:r>
      <w:r w:rsidRPr="00041ABB">
        <w:t xml:space="preserve">Navrhuje se pouze zařízení autonomní detekce a </w:t>
      </w:r>
      <w:r w:rsidRPr="00041ABB">
        <w:rPr>
          <w:rStyle w:val="STNORMLN-2Char"/>
        </w:rPr>
        <w:t>signalizace. Rodinný dům bude tvořit jeden požární úsek</w:t>
      </w:r>
      <w:r>
        <w:rPr>
          <w:rStyle w:val="STNORMLN-2Char"/>
        </w:rPr>
        <w:t xml:space="preserve">. </w:t>
      </w:r>
      <w:r w:rsidRPr="00904061">
        <w:rPr>
          <w:rStyle w:val="STNORMLN-2Char"/>
        </w:rPr>
        <w:t xml:space="preserve">Posuzovaný </w:t>
      </w:r>
      <w:r>
        <w:rPr>
          <w:rStyle w:val="STNORMLN-2Char"/>
        </w:rPr>
        <w:t xml:space="preserve">objekt </w:t>
      </w:r>
      <w:r w:rsidRPr="00904061">
        <w:rPr>
          <w:rStyle w:val="STNORMLN-2Char"/>
        </w:rPr>
        <w:t>se nenachází v požárně nebezpečném prostoru sousedních objektů, které jsou v době zpracování této PD zakresleny v předložené koordinační situaci.</w:t>
      </w:r>
      <w:r>
        <w:rPr>
          <w:rStyle w:val="STNORMLN-2Char"/>
        </w:rPr>
        <w:t xml:space="preserve"> </w:t>
      </w:r>
      <w:r w:rsidRPr="00904061">
        <w:rPr>
          <w:rStyle w:val="STNORMLN-2Char"/>
        </w:rPr>
        <w:t>Stavba se ani nenachází v žádném ochranném pásmu podzemního nebo nadzemního vedení.</w:t>
      </w:r>
      <w:r>
        <w:rPr>
          <w:rStyle w:val="STNORMLN-2Char"/>
        </w:rPr>
        <w:t xml:space="preserve"> </w:t>
      </w:r>
      <w:r w:rsidRPr="00041ABB">
        <w:t>Odstupové vzdálenosti nezasahují sousední soukromé pozemky, ale zasahují pouze do veřejného prostranství – ul. Havlíčkova.</w:t>
      </w:r>
      <w:r>
        <w:t xml:space="preserve"> </w:t>
      </w:r>
    </w:p>
    <w:p w14:paraId="07ACDC4E" w14:textId="64D55F8F" w:rsidR="00B74BC0" w:rsidRPr="00FE150C" w:rsidRDefault="00B74BC0" w:rsidP="002D5BF2">
      <w:pPr>
        <w:pStyle w:val="STNADPIS2"/>
      </w:pPr>
      <w:bookmarkStart w:id="208" w:name="_Toc18567061"/>
      <w:bookmarkStart w:id="209" w:name="_Toc24561598"/>
      <w:bookmarkStart w:id="210" w:name="_Toc24561703"/>
      <w:bookmarkStart w:id="211" w:name="_Toc24641061"/>
      <w:r w:rsidRPr="00FE150C">
        <w:t>Úspora energie a tepelná ochrana</w:t>
      </w:r>
      <w:bookmarkEnd w:id="208"/>
      <w:bookmarkEnd w:id="209"/>
      <w:bookmarkEnd w:id="210"/>
      <w:bookmarkEnd w:id="211"/>
    </w:p>
    <w:p w14:paraId="49CB213F" w14:textId="0213A8A1" w:rsidR="003C46DD" w:rsidRPr="00B91412" w:rsidRDefault="003C46DD" w:rsidP="004F71F3">
      <w:pPr>
        <w:pStyle w:val="STNORMLN-2"/>
        <w:rPr>
          <w:rFonts w:cs="Segoe UI"/>
        </w:rPr>
      </w:pPr>
      <w:r w:rsidRPr="00B91412">
        <w:rPr>
          <w:rFonts w:cs="Segoe UI"/>
        </w:rPr>
        <w:t xml:space="preserve">V rámci stavebních úprav </w:t>
      </w:r>
      <w:r w:rsidR="004F71F3">
        <w:rPr>
          <w:rFonts w:cs="Segoe UI"/>
        </w:rPr>
        <w:t>budou</w:t>
      </w:r>
      <w:r w:rsidRPr="00B91412">
        <w:rPr>
          <w:rFonts w:cs="Segoe UI"/>
        </w:rPr>
        <w:t xml:space="preserve"> provedena veškerá opatření v souladu s požadavky ČSN</w:t>
      </w:r>
      <w:r w:rsidR="004D0AB2">
        <w:rPr>
          <w:rFonts w:cs="Segoe UI"/>
        </w:rPr>
        <w:t> </w:t>
      </w:r>
      <w:r w:rsidRPr="00B91412">
        <w:rPr>
          <w:rFonts w:cs="Segoe UI"/>
        </w:rPr>
        <w:t>73</w:t>
      </w:r>
      <w:r w:rsidR="004D0AB2">
        <w:rPr>
          <w:rFonts w:cs="Segoe UI"/>
        </w:rPr>
        <w:t> </w:t>
      </w:r>
      <w:r w:rsidRPr="00B91412">
        <w:rPr>
          <w:rFonts w:cs="Segoe UI"/>
        </w:rPr>
        <w:t>0540</w:t>
      </w:r>
      <w:r w:rsidR="00A7349D" w:rsidRPr="00B91412">
        <w:rPr>
          <w:rFonts w:cs="Segoe UI"/>
        </w:rPr>
        <w:t>-2 Tepelná ochrana budov</w:t>
      </w:r>
      <w:r w:rsidRPr="00B91412">
        <w:rPr>
          <w:rFonts w:cs="Segoe UI"/>
        </w:rPr>
        <w:t xml:space="preserve"> a Energetického zákona</w:t>
      </w:r>
      <w:r w:rsidR="00A7349D" w:rsidRPr="00B91412">
        <w:rPr>
          <w:rFonts w:cs="Segoe UI"/>
        </w:rPr>
        <w:t>. Veškeré konstrukce budou splňovat požadované hodnoty součinitele prostupu tepla U</w:t>
      </w:r>
      <w:r w:rsidR="00A7349D" w:rsidRPr="00B91412">
        <w:rPr>
          <w:rFonts w:cs="Segoe UI"/>
          <w:vertAlign w:val="subscript"/>
        </w:rPr>
        <w:t>N</w:t>
      </w:r>
      <w:r w:rsidR="004F71F3">
        <w:rPr>
          <w:rFonts w:cs="Segoe UI"/>
          <w:vertAlign w:val="subscript"/>
        </w:rPr>
        <w:t>.</w:t>
      </w:r>
    </w:p>
    <w:p w14:paraId="17E37CC2" w14:textId="0F88D7CB" w:rsidR="00B74BC0" w:rsidRPr="00B83ED2" w:rsidRDefault="00B74BC0" w:rsidP="002D5BF2">
      <w:pPr>
        <w:pStyle w:val="STNADPIS2"/>
      </w:pPr>
      <w:bookmarkStart w:id="212" w:name="_Toc18567062"/>
      <w:bookmarkStart w:id="213" w:name="_Toc24561599"/>
      <w:bookmarkStart w:id="214" w:name="_Toc24561704"/>
      <w:bookmarkStart w:id="215" w:name="_Toc24641062"/>
      <w:r w:rsidRPr="00B83ED2">
        <w:t>Hygienické požadavky na stavby, požadavky na pracovní a komunální prostředí</w:t>
      </w:r>
      <w:bookmarkEnd w:id="212"/>
      <w:bookmarkEnd w:id="213"/>
      <w:bookmarkEnd w:id="214"/>
      <w:bookmarkEnd w:id="215"/>
    </w:p>
    <w:p w14:paraId="7CF5C459" w14:textId="0FAFAD9E" w:rsidR="00FA32A8" w:rsidRDefault="00154682" w:rsidP="00154682">
      <w:pPr>
        <w:pStyle w:val="STNORMLN-2"/>
      </w:pPr>
      <w:r w:rsidRPr="00154682">
        <w:t>Řešení vnitřního prostředí jednotlivých místností je v souladu se všemi v současnosti platnými hygienickými standardy a předpisy.</w:t>
      </w:r>
      <w:r>
        <w:t xml:space="preserve"> </w:t>
      </w:r>
    </w:p>
    <w:p w14:paraId="0D35CB5D" w14:textId="097D0527" w:rsidR="00B74BC0" w:rsidRPr="002D5BF2" w:rsidRDefault="00A7349D" w:rsidP="002D5BF2">
      <w:pPr>
        <w:pStyle w:val="STodrkyabc"/>
        <w:numPr>
          <w:ilvl w:val="0"/>
          <w:numId w:val="31"/>
        </w:numPr>
        <w:rPr>
          <w:b/>
        </w:rPr>
      </w:pPr>
      <w:r w:rsidRPr="00F44CE1">
        <w:t>Větrání</w:t>
      </w:r>
    </w:p>
    <w:p w14:paraId="21F9CE58" w14:textId="77777777" w:rsidR="009859BB" w:rsidRDefault="009859BB" w:rsidP="00041ABB">
      <w:pPr>
        <w:pStyle w:val="STNORMLN-2"/>
      </w:pPr>
      <w:r>
        <w:t>Předpokládané požadavky na mikroklima budovy</w:t>
      </w:r>
    </w:p>
    <w:p w14:paraId="076DCF07" w14:textId="77777777" w:rsidR="009859BB" w:rsidRDefault="009859BB" w:rsidP="00041ABB">
      <w:pPr>
        <w:pStyle w:val="STNORMLN-2"/>
      </w:pPr>
      <w:r>
        <w:t>Níže uvedené podmínky mají za cíl zabezpečit:</w:t>
      </w:r>
    </w:p>
    <w:p w14:paraId="1AABF6D8" w14:textId="7A6E53E3" w:rsidR="009859BB" w:rsidRDefault="009859BB" w:rsidP="00041ABB">
      <w:pPr>
        <w:pStyle w:val="STODRKY"/>
      </w:pPr>
      <w:r>
        <w:t>maximální komfort přítomných osob při respektování jejich pobytu a činnosti v prostorách</w:t>
      </w:r>
    </w:p>
    <w:p w14:paraId="522971E4" w14:textId="7696926B" w:rsidR="009859BB" w:rsidRDefault="009859BB" w:rsidP="00041ABB">
      <w:pPr>
        <w:pStyle w:val="STODRKY"/>
      </w:pPr>
      <w:r>
        <w:t>plnou funkčnost jednotlivých místností s ohledem na jejich využití</w:t>
      </w:r>
    </w:p>
    <w:p w14:paraId="1B03253A" w14:textId="74DB3557" w:rsidR="009859BB" w:rsidRDefault="009859BB" w:rsidP="00041ABB">
      <w:pPr>
        <w:pStyle w:val="STODRKY"/>
      </w:pPr>
      <w:r>
        <w:t>zachování interiérového vybavení při respektování stavební konstrukce</w:t>
      </w:r>
    </w:p>
    <w:p w14:paraId="62B7DD09" w14:textId="7129650C" w:rsidR="009859BB" w:rsidRDefault="009859BB" w:rsidP="00041ABB">
      <w:pPr>
        <w:pStyle w:val="STODRKY"/>
      </w:pPr>
      <w:r>
        <w:t xml:space="preserve">minimalizace prostorových nároků </w:t>
      </w:r>
    </w:p>
    <w:p w14:paraId="3ECD1B9D" w14:textId="19F43758" w:rsidR="009859BB" w:rsidRDefault="009859BB" w:rsidP="00041ABB">
      <w:pPr>
        <w:pStyle w:val="STNORMLN-2"/>
      </w:pPr>
      <w:r>
        <w:t>Aby se na maximální možnou míru eliminovaly nepříznivé vlivy hluku a vibrací, vznikající provozem vzduchotechniky a klimatizace, byla v projektu přijata taková opatření vč. použití odpovídajících elementů, snižující vnitřní i vnější hluk od vzduchotechniky na níže uvedené hodnoty.</w:t>
      </w:r>
    </w:p>
    <w:p w14:paraId="05320351" w14:textId="6AB5F910" w:rsidR="003C1F67" w:rsidRDefault="003C1F67" w:rsidP="003C1F67">
      <w:pPr>
        <w:pStyle w:val="STNORMLN-2"/>
        <w:rPr>
          <w:rFonts w:cs="Segoe UI"/>
          <w:i/>
          <w:sz w:val="20"/>
          <w:szCs w:val="20"/>
        </w:rPr>
      </w:pPr>
      <w:r w:rsidRPr="00B83ED2">
        <w:rPr>
          <w:rFonts w:cs="Segoe UI"/>
          <w:i/>
          <w:sz w:val="20"/>
          <w:szCs w:val="20"/>
        </w:rPr>
        <w:t xml:space="preserve">Tabulka č. </w:t>
      </w:r>
      <w:r>
        <w:rPr>
          <w:rFonts w:cs="Segoe UI"/>
          <w:i/>
          <w:sz w:val="20"/>
          <w:szCs w:val="20"/>
        </w:rPr>
        <w:t>3</w:t>
      </w:r>
      <w:r w:rsidRPr="00B83ED2">
        <w:rPr>
          <w:rFonts w:cs="Segoe UI"/>
          <w:i/>
          <w:sz w:val="20"/>
          <w:szCs w:val="20"/>
        </w:rPr>
        <w:t xml:space="preserve"> </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2991"/>
        <w:gridCol w:w="3346"/>
      </w:tblGrid>
      <w:tr w:rsidR="009859BB" w:rsidRPr="00B83ED2" w14:paraId="13EC2E02" w14:textId="77777777" w:rsidTr="00F44CE1">
        <w:trPr>
          <w:trHeight w:val="608"/>
        </w:trPr>
        <w:tc>
          <w:tcPr>
            <w:tcW w:w="2689" w:type="dxa"/>
            <w:shd w:val="clear" w:color="auto" w:fill="BFBFBF" w:themeFill="background1" w:themeFillShade="BF"/>
            <w:vAlign w:val="center"/>
          </w:tcPr>
          <w:p w14:paraId="49881B59" w14:textId="25C6E88C" w:rsidR="009859BB" w:rsidRPr="00B83ED2" w:rsidRDefault="009859BB" w:rsidP="00FD2DA6">
            <w:pPr>
              <w:pStyle w:val="STZHLAV"/>
              <w:jc w:val="left"/>
              <w:rPr>
                <w:rFonts w:cs="Segoe UI"/>
              </w:rPr>
            </w:pPr>
            <w:r>
              <w:rPr>
                <w:rFonts w:cs="Segoe UI"/>
              </w:rPr>
              <w:t>Místnost</w:t>
            </w:r>
          </w:p>
        </w:tc>
        <w:tc>
          <w:tcPr>
            <w:tcW w:w="2991" w:type="dxa"/>
            <w:shd w:val="clear" w:color="auto" w:fill="BFBFBF" w:themeFill="background1" w:themeFillShade="BF"/>
            <w:vAlign w:val="center"/>
          </w:tcPr>
          <w:p w14:paraId="058E0E89" w14:textId="02EDDB48" w:rsidR="009859BB" w:rsidRPr="00B83ED2" w:rsidRDefault="009859BB" w:rsidP="00FD2DA6">
            <w:pPr>
              <w:pStyle w:val="STZHLAV"/>
              <w:jc w:val="left"/>
              <w:rPr>
                <w:rFonts w:cs="Segoe UI"/>
              </w:rPr>
            </w:pPr>
            <w:r>
              <w:rPr>
                <w:rFonts w:cs="Segoe UI"/>
              </w:rPr>
              <w:t>Maximální hladina hluku dB(A)</w:t>
            </w:r>
          </w:p>
        </w:tc>
        <w:tc>
          <w:tcPr>
            <w:tcW w:w="3346" w:type="dxa"/>
            <w:shd w:val="clear" w:color="auto" w:fill="BFBFBF" w:themeFill="background1" w:themeFillShade="BF"/>
            <w:vAlign w:val="center"/>
          </w:tcPr>
          <w:p w14:paraId="35D05225" w14:textId="0EE978BB" w:rsidR="009859BB" w:rsidRPr="00B83ED2" w:rsidRDefault="009859BB" w:rsidP="00FD2DA6">
            <w:pPr>
              <w:pStyle w:val="STZHLAV"/>
              <w:jc w:val="left"/>
              <w:rPr>
                <w:rFonts w:cs="Segoe UI"/>
              </w:rPr>
            </w:pPr>
            <w:r>
              <w:rPr>
                <w:rFonts w:cs="Segoe UI"/>
              </w:rPr>
              <w:t>Odpovídající třída hluku NR</w:t>
            </w:r>
          </w:p>
        </w:tc>
      </w:tr>
      <w:tr w:rsidR="009859BB" w:rsidRPr="00B83ED2" w14:paraId="0EDCCA9F" w14:textId="77777777" w:rsidTr="00F44CE1">
        <w:trPr>
          <w:trHeight w:val="529"/>
        </w:trPr>
        <w:tc>
          <w:tcPr>
            <w:tcW w:w="2689" w:type="dxa"/>
            <w:shd w:val="clear" w:color="auto" w:fill="auto"/>
            <w:vAlign w:val="center"/>
          </w:tcPr>
          <w:p w14:paraId="477E9335" w14:textId="12FB0A5D" w:rsidR="009859BB" w:rsidRPr="00B83ED2" w:rsidRDefault="009859BB" w:rsidP="00FD2DA6">
            <w:pPr>
              <w:pStyle w:val="STTABULKY"/>
              <w:rPr>
                <w:rFonts w:cs="Segoe UI"/>
              </w:rPr>
            </w:pPr>
            <w:r>
              <w:rPr>
                <w:rFonts w:cs="Segoe UI"/>
              </w:rPr>
              <w:t>Obytné prostory</w:t>
            </w:r>
          </w:p>
        </w:tc>
        <w:tc>
          <w:tcPr>
            <w:tcW w:w="2991" w:type="dxa"/>
            <w:shd w:val="clear" w:color="auto" w:fill="auto"/>
            <w:vAlign w:val="center"/>
          </w:tcPr>
          <w:p w14:paraId="5DE22940" w14:textId="36655AE6" w:rsidR="009859BB" w:rsidRPr="00B83ED2" w:rsidRDefault="009859BB" w:rsidP="00FD2DA6">
            <w:pPr>
              <w:pStyle w:val="STTABULKY"/>
              <w:rPr>
                <w:rFonts w:cs="Segoe UI"/>
              </w:rPr>
            </w:pPr>
            <w:r>
              <w:rPr>
                <w:rFonts w:cs="Segoe UI"/>
              </w:rPr>
              <w:t>45/35</w:t>
            </w:r>
          </w:p>
        </w:tc>
        <w:tc>
          <w:tcPr>
            <w:tcW w:w="3346" w:type="dxa"/>
            <w:shd w:val="clear" w:color="auto" w:fill="auto"/>
            <w:vAlign w:val="center"/>
          </w:tcPr>
          <w:p w14:paraId="485563A7" w14:textId="29895EA3" w:rsidR="009859BB" w:rsidRPr="00B83ED2" w:rsidRDefault="009859BB" w:rsidP="00FD2DA6">
            <w:pPr>
              <w:pStyle w:val="STTABULKY"/>
              <w:rPr>
                <w:rFonts w:cs="Segoe UI"/>
              </w:rPr>
            </w:pPr>
            <w:r>
              <w:rPr>
                <w:rFonts w:cs="Segoe UI"/>
              </w:rPr>
              <w:t>40/30</w:t>
            </w:r>
          </w:p>
        </w:tc>
      </w:tr>
      <w:tr w:rsidR="009859BB" w:rsidRPr="00B83ED2" w14:paraId="65ADA73C" w14:textId="77777777" w:rsidTr="00F44CE1">
        <w:trPr>
          <w:trHeight w:val="529"/>
        </w:trPr>
        <w:tc>
          <w:tcPr>
            <w:tcW w:w="2689" w:type="dxa"/>
            <w:shd w:val="clear" w:color="auto" w:fill="auto"/>
            <w:vAlign w:val="center"/>
          </w:tcPr>
          <w:p w14:paraId="42984CA7" w14:textId="1C413447" w:rsidR="009859BB" w:rsidRPr="00B83ED2" w:rsidRDefault="009859BB" w:rsidP="00FD2DA6">
            <w:pPr>
              <w:pStyle w:val="STTABULKY"/>
              <w:rPr>
                <w:rFonts w:cs="Segoe UI"/>
              </w:rPr>
            </w:pPr>
            <w:r>
              <w:rPr>
                <w:rFonts w:cs="Segoe UI"/>
              </w:rPr>
              <w:t>Sociální zázemí a sklady</w:t>
            </w:r>
          </w:p>
        </w:tc>
        <w:tc>
          <w:tcPr>
            <w:tcW w:w="2991" w:type="dxa"/>
            <w:shd w:val="clear" w:color="auto" w:fill="auto"/>
            <w:vAlign w:val="center"/>
          </w:tcPr>
          <w:p w14:paraId="67C17157" w14:textId="2D304FB5" w:rsidR="009859BB" w:rsidRPr="00B83ED2" w:rsidRDefault="009859BB" w:rsidP="00FD2DA6">
            <w:pPr>
              <w:pStyle w:val="STTABULKY"/>
              <w:rPr>
                <w:rFonts w:cs="Segoe UI"/>
              </w:rPr>
            </w:pPr>
            <w:r>
              <w:rPr>
                <w:rFonts w:cs="Segoe UI"/>
              </w:rPr>
              <w:t>45</w:t>
            </w:r>
          </w:p>
        </w:tc>
        <w:tc>
          <w:tcPr>
            <w:tcW w:w="3346" w:type="dxa"/>
            <w:shd w:val="clear" w:color="auto" w:fill="auto"/>
            <w:vAlign w:val="center"/>
          </w:tcPr>
          <w:p w14:paraId="03260C2C" w14:textId="2925469B" w:rsidR="009859BB" w:rsidRPr="00B83ED2" w:rsidRDefault="009859BB" w:rsidP="00FD2DA6">
            <w:pPr>
              <w:pStyle w:val="STTABULKY"/>
              <w:rPr>
                <w:rFonts w:cs="Segoe UI"/>
                <w:color w:val="000000"/>
                <w:szCs w:val="20"/>
                <w:shd w:val="clear" w:color="auto" w:fill="FEFEFE"/>
              </w:rPr>
            </w:pPr>
            <w:r>
              <w:rPr>
                <w:rFonts w:cs="Segoe UI"/>
                <w:color w:val="000000"/>
                <w:szCs w:val="20"/>
                <w:shd w:val="clear" w:color="auto" w:fill="FEFEFE"/>
              </w:rPr>
              <w:t>40</w:t>
            </w:r>
          </w:p>
        </w:tc>
      </w:tr>
      <w:tr w:rsidR="009859BB" w:rsidRPr="00B83ED2" w14:paraId="5D06CA4B" w14:textId="77777777" w:rsidTr="00F44CE1">
        <w:trPr>
          <w:trHeight w:val="422"/>
        </w:trPr>
        <w:tc>
          <w:tcPr>
            <w:tcW w:w="2689" w:type="dxa"/>
            <w:shd w:val="clear" w:color="auto" w:fill="auto"/>
            <w:vAlign w:val="center"/>
          </w:tcPr>
          <w:p w14:paraId="0A84DA5E" w14:textId="4D591824" w:rsidR="009859BB" w:rsidRPr="00B83ED2" w:rsidRDefault="009859BB" w:rsidP="00FD2DA6">
            <w:pPr>
              <w:pStyle w:val="STTABULKY"/>
              <w:rPr>
                <w:rFonts w:cs="Segoe UI"/>
              </w:rPr>
            </w:pPr>
            <w:r>
              <w:rPr>
                <w:rFonts w:cs="Segoe UI"/>
              </w:rPr>
              <w:t>Technická místnost</w:t>
            </w:r>
          </w:p>
        </w:tc>
        <w:tc>
          <w:tcPr>
            <w:tcW w:w="2991" w:type="dxa"/>
            <w:shd w:val="clear" w:color="auto" w:fill="auto"/>
            <w:vAlign w:val="center"/>
          </w:tcPr>
          <w:p w14:paraId="25B9FC73" w14:textId="1E6A615A" w:rsidR="009859BB" w:rsidRPr="00B83ED2" w:rsidRDefault="009859BB" w:rsidP="00FD2DA6">
            <w:pPr>
              <w:pStyle w:val="STTABULKY"/>
              <w:rPr>
                <w:rFonts w:cs="Segoe UI"/>
              </w:rPr>
            </w:pPr>
            <w:r>
              <w:rPr>
                <w:rFonts w:cs="Segoe UI"/>
              </w:rPr>
              <w:t>75</w:t>
            </w:r>
          </w:p>
        </w:tc>
        <w:tc>
          <w:tcPr>
            <w:tcW w:w="3346" w:type="dxa"/>
            <w:shd w:val="clear" w:color="auto" w:fill="auto"/>
            <w:vAlign w:val="center"/>
          </w:tcPr>
          <w:p w14:paraId="6B16995F" w14:textId="5B5D6869" w:rsidR="009859BB" w:rsidRPr="00B83ED2" w:rsidRDefault="009859BB" w:rsidP="00FD2DA6">
            <w:pPr>
              <w:pStyle w:val="STTABULKY"/>
              <w:rPr>
                <w:rFonts w:cs="Segoe UI"/>
              </w:rPr>
            </w:pPr>
            <w:r>
              <w:rPr>
                <w:rFonts w:cs="Segoe UI"/>
              </w:rPr>
              <w:t>65</w:t>
            </w:r>
          </w:p>
        </w:tc>
      </w:tr>
    </w:tbl>
    <w:p w14:paraId="2EE849E6" w14:textId="77777777" w:rsidR="009859BB" w:rsidRDefault="009859BB" w:rsidP="00041ABB">
      <w:pPr>
        <w:pStyle w:val="STNORMLN-2"/>
      </w:pPr>
      <w:r>
        <w:t>Dimenzování zařízení z hlediska výměny čerstvého vzduchu</w:t>
      </w:r>
    </w:p>
    <w:p w14:paraId="2067CFCD" w14:textId="77777777" w:rsidR="009859BB" w:rsidRDefault="009859BB" w:rsidP="00041ABB">
      <w:pPr>
        <w:pStyle w:val="STNORMLN-2"/>
      </w:pPr>
      <w:r>
        <w:t>Na základě hygienických předpisů s přihlédnutím na předpokládaný způsob využití daných prostor v určitém stupni komfortu je možnost stanovit průtoky čerstvého vzduchu následovně:</w:t>
      </w:r>
    </w:p>
    <w:p w14:paraId="499BBDBE" w14:textId="283E3411" w:rsidR="009859BB" w:rsidRDefault="009859BB" w:rsidP="00041ABB">
      <w:pPr>
        <w:pStyle w:val="STNORMLN-2"/>
      </w:pPr>
      <w:r>
        <w:t>Trvalé větrání – průtok venkovního vzduchu</w:t>
      </w:r>
      <w:r>
        <w:tab/>
        <w:t xml:space="preserve"> - minimální intenzita větrání </w:t>
      </w:r>
      <w:r>
        <w:tab/>
      </w:r>
      <w:r>
        <w:tab/>
        <w:t>0,5 / h</w:t>
      </w:r>
    </w:p>
    <w:p w14:paraId="76CB0CCB" w14:textId="77777777" w:rsidR="009859BB" w:rsidRDefault="009859BB" w:rsidP="00F44CE1">
      <w:pPr>
        <w:pStyle w:val="STNORMLN-2"/>
      </w:pPr>
      <w:r>
        <w:tab/>
      </w:r>
      <w:r>
        <w:tab/>
        <w:t xml:space="preserve">- Dávka venkovního vzduchu na klienta </w:t>
      </w:r>
      <w:r>
        <w:tab/>
      </w:r>
      <w:r>
        <w:tab/>
      </w:r>
      <w:r>
        <w:tab/>
      </w:r>
      <w:r>
        <w:tab/>
        <w:t>min. 25 m</w:t>
      </w:r>
      <w:r w:rsidRPr="00F44CE1">
        <w:t>3</w:t>
      </w:r>
      <w:r>
        <w:t>/h</w:t>
      </w:r>
    </w:p>
    <w:p w14:paraId="66B6C1BA" w14:textId="77777777" w:rsidR="009859BB" w:rsidRDefault="009859BB" w:rsidP="00041ABB">
      <w:pPr>
        <w:pStyle w:val="STNORMLN-2"/>
      </w:pPr>
      <w:r>
        <w:tab/>
      </w:r>
      <w:r>
        <w:tab/>
        <w:t>- Dávka venkovního vzduchu na zaměstnance</w:t>
      </w:r>
      <w:r>
        <w:tab/>
      </w:r>
      <w:r>
        <w:tab/>
      </w:r>
      <w:r>
        <w:tab/>
        <w:t>min. 50 m</w:t>
      </w:r>
      <w:r w:rsidRPr="00F44CE1">
        <w:t>3</w:t>
      </w:r>
      <w:r>
        <w:t>/h</w:t>
      </w:r>
    </w:p>
    <w:p w14:paraId="196E9CBF" w14:textId="77777777" w:rsidR="009859BB" w:rsidRDefault="009859BB" w:rsidP="00041ABB">
      <w:pPr>
        <w:pStyle w:val="STNORMLN-2"/>
      </w:pPr>
      <w:r>
        <w:t>Vzhledem k nutnosti hrazeni objemu odváděného vzduchu ze soc. zázemí je přívod vzduchu do všech pobytových prostor dimenzován na 50 m</w:t>
      </w:r>
      <w:r w:rsidRPr="00F44CE1">
        <w:t>3</w:t>
      </w:r>
      <w:r>
        <w:t>/h na osobu.</w:t>
      </w:r>
    </w:p>
    <w:p w14:paraId="1FBA7D76" w14:textId="77777777" w:rsidR="009859BB" w:rsidRDefault="009859BB" w:rsidP="00041ABB">
      <w:pPr>
        <w:pStyle w:val="STNORMLN-2"/>
      </w:pPr>
      <w:r>
        <w:t>Minimální průtok vzduchu:</w:t>
      </w:r>
    </w:p>
    <w:p w14:paraId="506BD3BC" w14:textId="77777777" w:rsidR="009859BB" w:rsidRDefault="009859BB" w:rsidP="00F44CE1">
      <w:pPr>
        <w:pStyle w:val="STNORMLN-2"/>
      </w:pPr>
      <w:r>
        <w:t>Umyvadlo</w:t>
      </w:r>
      <w:r>
        <w:tab/>
      </w:r>
      <w:r>
        <w:tab/>
      </w:r>
      <w:r>
        <w:tab/>
      </w:r>
      <w:r>
        <w:tab/>
      </w:r>
      <w:r>
        <w:tab/>
      </w:r>
      <w:r>
        <w:tab/>
        <w:t>- 30 m</w:t>
      </w:r>
      <w:r w:rsidRPr="00F44CE1">
        <w:t>3</w:t>
      </w:r>
      <w:r>
        <w:t>/h</w:t>
      </w:r>
    </w:p>
    <w:p w14:paraId="53A6B228" w14:textId="77777777" w:rsidR="009859BB" w:rsidRDefault="009859BB" w:rsidP="00F44CE1">
      <w:pPr>
        <w:pStyle w:val="STNORMLN-2"/>
      </w:pPr>
      <w:r>
        <w:t>WC</w:t>
      </w:r>
      <w:r>
        <w:tab/>
      </w:r>
      <w:r>
        <w:tab/>
      </w:r>
      <w:r>
        <w:tab/>
      </w:r>
      <w:r>
        <w:tab/>
      </w:r>
      <w:r>
        <w:tab/>
      </w:r>
      <w:r>
        <w:tab/>
      </w:r>
      <w:r>
        <w:tab/>
        <w:t>- 50 m</w:t>
      </w:r>
      <w:r w:rsidRPr="00F44CE1">
        <w:t>3</w:t>
      </w:r>
      <w:r>
        <w:t>/h</w:t>
      </w:r>
    </w:p>
    <w:p w14:paraId="3D0D80B9" w14:textId="75603A6D" w:rsidR="009859BB" w:rsidRDefault="009859BB" w:rsidP="00F44CE1">
      <w:pPr>
        <w:pStyle w:val="STNORMLN-2"/>
      </w:pPr>
      <w:r>
        <w:t>Sprcha</w:t>
      </w:r>
      <w:r>
        <w:tab/>
      </w:r>
      <w:r>
        <w:tab/>
      </w:r>
      <w:r>
        <w:tab/>
      </w:r>
      <w:r>
        <w:tab/>
      </w:r>
      <w:r>
        <w:tab/>
      </w:r>
      <w:r>
        <w:tab/>
      </w:r>
      <w:r>
        <w:tab/>
        <w:t>- 150 m</w:t>
      </w:r>
      <w:r w:rsidRPr="00F44CE1">
        <w:t>3</w:t>
      </w:r>
      <w:r>
        <w:t>/h</w:t>
      </w:r>
    </w:p>
    <w:p w14:paraId="4A100B07" w14:textId="77777777" w:rsidR="009859BB" w:rsidRDefault="009859BB" w:rsidP="00041ABB">
      <w:pPr>
        <w:pStyle w:val="STNORMLN-2"/>
      </w:pPr>
      <w:r>
        <w:t>Digestoř</w:t>
      </w:r>
      <w:r>
        <w:tab/>
      </w:r>
      <w:r>
        <w:tab/>
      </w:r>
      <w:r>
        <w:tab/>
      </w:r>
      <w:r>
        <w:tab/>
      </w:r>
      <w:r>
        <w:tab/>
      </w:r>
      <w:r>
        <w:tab/>
        <w:t>- 300 m</w:t>
      </w:r>
      <w:r w:rsidRPr="00F44CE1">
        <w:t>3</w:t>
      </w:r>
      <w:r>
        <w:t>/h</w:t>
      </w:r>
    </w:p>
    <w:p w14:paraId="35091AFF" w14:textId="77777777" w:rsidR="009859BB" w:rsidRDefault="009859BB" w:rsidP="00041ABB">
      <w:pPr>
        <w:pStyle w:val="STNORMLN-2"/>
      </w:pPr>
      <w:r>
        <w:t xml:space="preserve">Větrání některých pobytových místností je dále možno zajistit i přirozeně pomocí otevíratelných oken. </w:t>
      </w:r>
    </w:p>
    <w:p w14:paraId="3F2F9BF2" w14:textId="475EC957" w:rsidR="00044B33" w:rsidRPr="00F44CE1" w:rsidRDefault="00044B33" w:rsidP="002D5BF2">
      <w:pPr>
        <w:pStyle w:val="STodrkyabc"/>
        <w:rPr>
          <w:b/>
        </w:rPr>
      </w:pPr>
      <w:r w:rsidRPr="00F44CE1">
        <w:t>Vytápění objektu</w:t>
      </w:r>
    </w:p>
    <w:p w14:paraId="0C05250C" w14:textId="0510D359" w:rsidR="00044B33" w:rsidRDefault="00656412" w:rsidP="004E62A9">
      <w:pPr>
        <w:pStyle w:val="STNORMLN-2"/>
      </w:pPr>
      <w:r>
        <w:t>Návrh vytápění je v souladu s hygienickými požadavky na vnitřní prostředí staveb.</w:t>
      </w:r>
    </w:p>
    <w:p w14:paraId="58E9E3F0" w14:textId="2E894648" w:rsidR="006E661E" w:rsidRPr="00041ABB" w:rsidRDefault="006E661E" w:rsidP="00041ABB">
      <w:pPr>
        <w:pStyle w:val="STNORMLN-2"/>
      </w:pPr>
      <w:r w:rsidRPr="00041ABB">
        <w:t>Dle ČSN 73 0540-3 „Tepelná ochrana budov – Část 3: Návrhové hodnoty veličin vnitřní</w:t>
      </w:r>
    </w:p>
    <w:p w14:paraId="1FDA6507" w14:textId="77777777" w:rsidR="006E661E" w:rsidRPr="00041ABB" w:rsidRDefault="006E661E" w:rsidP="00041ABB">
      <w:pPr>
        <w:pStyle w:val="STNORMLN-2"/>
      </w:pPr>
      <w:r w:rsidRPr="00041ABB">
        <w:t>výpočtové teploty vytápěných místností byly stanoveny následovně:</w:t>
      </w:r>
    </w:p>
    <w:p w14:paraId="1862742B" w14:textId="635A06D4" w:rsidR="006E661E" w:rsidRDefault="006E661E" w:rsidP="00F44CE1">
      <w:pPr>
        <w:pStyle w:val="STODRKY"/>
      </w:pPr>
      <w:r>
        <w:t xml:space="preserve">pobytové místnosti </w:t>
      </w:r>
      <w:r>
        <w:tab/>
        <w:t>t</w:t>
      </w:r>
      <w:r w:rsidRPr="00041ABB">
        <w:rPr>
          <w:vertAlign w:val="subscript"/>
        </w:rPr>
        <w:t>i</w:t>
      </w:r>
      <w:r>
        <w:t xml:space="preserve"> = 20 °C</w:t>
      </w:r>
    </w:p>
    <w:p w14:paraId="7188A172" w14:textId="1BE57A81" w:rsidR="006E661E" w:rsidRPr="00B83ED2" w:rsidRDefault="006E661E" w:rsidP="00041ABB">
      <w:pPr>
        <w:pStyle w:val="STODRKY"/>
      </w:pPr>
      <w:r>
        <w:t xml:space="preserve">koupelny </w:t>
      </w:r>
      <w:r>
        <w:tab/>
      </w:r>
      <w:r>
        <w:tab/>
        <w:t>t</w:t>
      </w:r>
      <w:r w:rsidRPr="007849AB">
        <w:rPr>
          <w:vertAlign w:val="subscript"/>
        </w:rPr>
        <w:t>i</w:t>
      </w:r>
      <w:r>
        <w:t xml:space="preserve"> = 24 °C</w:t>
      </w:r>
    </w:p>
    <w:p w14:paraId="485CF7F8" w14:textId="418F1C82" w:rsidR="00044B33" w:rsidRPr="00F44CE1" w:rsidRDefault="00044B33" w:rsidP="002D5BF2">
      <w:pPr>
        <w:pStyle w:val="STodrkyabc"/>
        <w:rPr>
          <w:b/>
        </w:rPr>
      </w:pPr>
      <w:r w:rsidRPr="00F44CE1">
        <w:t>Osvětlení</w:t>
      </w:r>
    </w:p>
    <w:p w14:paraId="4A72CBDE" w14:textId="546C83DD" w:rsidR="006E661E" w:rsidRDefault="006E661E" w:rsidP="006E661E">
      <w:pPr>
        <w:pStyle w:val="STNORMLN-2"/>
      </w:pPr>
      <w:r>
        <w:t>Návrh vnitřního osvětlení je zpracován dle ČSN EN 12 464.</w:t>
      </w:r>
    </w:p>
    <w:p w14:paraId="275F7A43" w14:textId="77777777" w:rsidR="006E661E" w:rsidRDefault="006E661E" w:rsidP="00041ABB">
      <w:pPr>
        <w:pStyle w:val="STNORMLN-2"/>
      </w:pPr>
      <w:r>
        <w:t>Požadované intenzity osvětlení:</w:t>
      </w:r>
    </w:p>
    <w:p w14:paraId="14E21AE8" w14:textId="77777777" w:rsidR="006E661E" w:rsidRDefault="006E661E" w:rsidP="00F44CE1">
      <w:pPr>
        <w:pStyle w:val="STNORMLN-2"/>
      </w:pPr>
      <w:r>
        <w:t>Pokoje klientů:</w:t>
      </w:r>
      <w:r>
        <w:tab/>
      </w:r>
      <w:r>
        <w:tab/>
      </w:r>
      <w:r>
        <w:tab/>
        <w:t>300 lx</w:t>
      </w:r>
    </w:p>
    <w:p w14:paraId="412F0375" w14:textId="77777777" w:rsidR="006E661E" w:rsidRDefault="006E661E" w:rsidP="00F44CE1">
      <w:pPr>
        <w:pStyle w:val="STNORMLN-2"/>
      </w:pPr>
      <w:r>
        <w:t>Chodby:</w:t>
      </w:r>
      <w:r>
        <w:tab/>
      </w:r>
      <w:r>
        <w:tab/>
      </w:r>
      <w:r>
        <w:tab/>
      </w:r>
      <w:r>
        <w:tab/>
        <w:t>100 lx</w:t>
      </w:r>
    </w:p>
    <w:p w14:paraId="43A47CCA" w14:textId="77777777" w:rsidR="006E661E" w:rsidRDefault="006E661E" w:rsidP="00F44CE1">
      <w:pPr>
        <w:pStyle w:val="STNORMLN-2"/>
      </w:pPr>
      <w:r>
        <w:t>Úniková schodiště:</w:t>
      </w:r>
      <w:r>
        <w:tab/>
      </w:r>
      <w:r>
        <w:tab/>
      </w:r>
      <w:r>
        <w:tab/>
        <w:t>150 lx</w:t>
      </w:r>
    </w:p>
    <w:p w14:paraId="185430B2" w14:textId="77777777" w:rsidR="006E661E" w:rsidRDefault="006E661E" w:rsidP="00F44CE1">
      <w:pPr>
        <w:pStyle w:val="STNORMLN-2"/>
      </w:pPr>
      <w:r>
        <w:t>Technické místnosti:</w:t>
      </w:r>
      <w:r>
        <w:tab/>
      </w:r>
      <w:r>
        <w:tab/>
      </w:r>
      <w:r>
        <w:tab/>
        <w:t>200 lx</w:t>
      </w:r>
    </w:p>
    <w:p w14:paraId="70DCD1EF" w14:textId="77777777" w:rsidR="006E661E" w:rsidRDefault="006E661E" w:rsidP="00041ABB">
      <w:pPr>
        <w:pStyle w:val="STNORMLN-2"/>
      </w:pPr>
      <w:r>
        <w:t>Hygienické zázemí:</w:t>
      </w:r>
      <w:r>
        <w:tab/>
      </w:r>
      <w:r>
        <w:tab/>
      </w:r>
      <w:r>
        <w:tab/>
        <w:t>200 lx</w:t>
      </w:r>
    </w:p>
    <w:p w14:paraId="2A4575C1" w14:textId="1E9556F7" w:rsidR="006E661E" w:rsidRDefault="006E661E" w:rsidP="006E661E">
      <w:pPr>
        <w:pStyle w:val="STNORMLN-2"/>
      </w:pPr>
      <w:r>
        <w:t xml:space="preserve">Vzhledem k novému dispozičnímu řešení jsou navrženy nové otvorové prvky v obvodové plášti domu, které zajistí dostatečné oslunění pobytových místností. </w:t>
      </w:r>
    </w:p>
    <w:p w14:paraId="6235FA73" w14:textId="4BD5FADF" w:rsidR="003C1F67" w:rsidRDefault="003C1F67" w:rsidP="006E661E">
      <w:pPr>
        <w:pStyle w:val="STNORMLN-2"/>
      </w:pPr>
    </w:p>
    <w:p w14:paraId="6B0628D5" w14:textId="66595BD4" w:rsidR="003C1F67" w:rsidRDefault="003C1F67" w:rsidP="006E661E">
      <w:pPr>
        <w:pStyle w:val="STNORMLN-2"/>
      </w:pPr>
    </w:p>
    <w:p w14:paraId="0D24B5F3" w14:textId="5464EE43" w:rsidR="003C1F67" w:rsidRDefault="003C1F67" w:rsidP="006E661E">
      <w:pPr>
        <w:pStyle w:val="STNORMLN-2"/>
      </w:pPr>
    </w:p>
    <w:p w14:paraId="3F156904" w14:textId="77777777" w:rsidR="003C1F67" w:rsidRDefault="003C1F67" w:rsidP="006E661E">
      <w:pPr>
        <w:pStyle w:val="STNORMLN-2"/>
      </w:pPr>
    </w:p>
    <w:p w14:paraId="334431C8" w14:textId="20A483F5" w:rsidR="00001AAB" w:rsidRDefault="00001AAB" w:rsidP="00001AAB">
      <w:pPr>
        <w:pStyle w:val="STNORMLN-2"/>
        <w:rPr>
          <w:rFonts w:cs="Segoe UI"/>
          <w:i/>
          <w:sz w:val="20"/>
          <w:szCs w:val="20"/>
        </w:rPr>
      </w:pPr>
      <w:r w:rsidRPr="00B83ED2">
        <w:rPr>
          <w:rFonts w:cs="Segoe UI"/>
          <w:i/>
          <w:sz w:val="20"/>
          <w:szCs w:val="20"/>
        </w:rPr>
        <w:t xml:space="preserve">Tabulka č. </w:t>
      </w:r>
      <w:r w:rsidR="003C1F67">
        <w:rPr>
          <w:rFonts w:cs="Segoe UI"/>
          <w:i/>
          <w:sz w:val="20"/>
          <w:szCs w:val="20"/>
        </w:rPr>
        <w:t>4</w:t>
      </w:r>
      <w:r w:rsidRPr="00B83ED2">
        <w:rPr>
          <w:rFonts w:cs="Segoe UI"/>
          <w:i/>
          <w:sz w:val="20"/>
          <w:szCs w:val="20"/>
        </w:rPr>
        <w:t xml:space="preserve"> </w:t>
      </w:r>
      <w:r>
        <w:rPr>
          <w:rFonts w:cs="Segoe UI"/>
          <w:i/>
          <w:sz w:val="20"/>
          <w:szCs w:val="20"/>
        </w:rPr>
        <w:t>–</w:t>
      </w:r>
      <w:r w:rsidRPr="00B83ED2">
        <w:rPr>
          <w:rFonts w:cs="Segoe UI"/>
          <w:i/>
          <w:sz w:val="20"/>
          <w:szCs w:val="20"/>
        </w:rPr>
        <w:t xml:space="preserve"> </w:t>
      </w:r>
      <w:r>
        <w:rPr>
          <w:rFonts w:cs="Segoe UI"/>
          <w:i/>
          <w:sz w:val="20"/>
          <w:szCs w:val="20"/>
        </w:rPr>
        <w:t>Určení kontrolních bodů</w:t>
      </w:r>
    </w:p>
    <w:tbl>
      <w:tblPr>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925"/>
        <w:gridCol w:w="995"/>
        <w:gridCol w:w="3493"/>
        <w:gridCol w:w="2053"/>
      </w:tblGrid>
      <w:tr w:rsidR="009859BB" w:rsidRPr="00B83ED2" w14:paraId="7FAD668D" w14:textId="77777777" w:rsidTr="009859BB">
        <w:trPr>
          <w:trHeight w:val="608"/>
        </w:trPr>
        <w:tc>
          <w:tcPr>
            <w:tcW w:w="1413" w:type="dxa"/>
            <w:shd w:val="clear" w:color="auto" w:fill="BFBFBF" w:themeFill="background1" w:themeFillShade="BF"/>
            <w:noWrap/>
            <w:vAlign w:val="center"/>
            <w:hideMark/>
          </w:tcPr>
          <w:p w14:paraId="551F831F" w14:textId="77777777" w:rsidR="009859BB" w:rsidRPr="00B83ED2" w:rsidRDefault="009859BB" w:rsidP="00FD2DA6">
            <w:pPr>
              <w:pStyle w:val="STZHLAV"/>
              <w:rPr>
                <w:rFonts w:cs="Segoe UI"/>
              </w:rPr>
            </w:pPr>
            <w:bookmarkStart w:id="216" w:name="_Hlk18415713"/>
            <w:r>
              <w:rPr>
                <w:rFonts w:cs="Segoe UI"/>
              </w:rPr>
              <w:t>místnost</w:t>
            </w:r>
          </w:p>
        </w:tc>
        <w:tc>
          <w:tcPr>
            <w:tcW w:w="925" w:type="dxa"/>
            <w:shd w:val="clear" w:color="auto" w:fill="BFBFBF" w:themeFill="background1" w:themeFillShade="BF"/>
            <w:vAlign w:val="center"/>
            <w:hideMark/>
          </w:tcPr>
          <w:p w14:paraId="34F61A13" w14:textId="77777777" w:rsidR="009859BB" w:rsidRPr="00B83ED2" w:rsidRDefault="009859BB" w:rsidP="00FD2DA6">
            <w:pPr>
              <w:pStyle w:val="STZHLAV"/>
              <w:rPr>
                <w:rFonts w:cs="Segoe UI"/>
              </w:rPr>
            </w:pPr>
            <w:r>
              <w:rPr>
                <w:rFonts w:cs="Segoe UI"/>
              </w:rPr>
              <w:t>Obytná místnost</w:t>
            </w:r>
          </w:p>
        </w:tc>
        <w:tc>
          <w:tcPr>
            <w:tcW w:w="995" w:type="dxa"/>
            <w:shd w:val="clear" w:color="auto" w:fill="BFBFBF" w:themeFill="background1" w:themeFillShade="BF"/>
          </w:tcPr>
          <w:p w14:paraId="60530E43" w14:textId="77777777" w:rsidR="009859BB" w:rsidRPr="00904061" w:rsidRDefault="009859BB" w:rsidP="00FD2DA6">
            <w:pPr>
              <w:pStyle w:val="STZHLAV"/>
              <w:jc w:val="center"/>
              <w:rPr>
                <w:rFonts w:cs="Segoe UI"/>
                <w:vertAlign w:val="superscript"/>
              </w:rPr>
            </w:pPr>
            <w:r>
              <w:rPr>
                <w:rFonts w:cs="Segoe UI"/>
              </w:rPr>
              <w:t>Plocha</w:t>
            </w:r>
            <w:r>
              <w:rPr>
                <w:rFonts w:cs="Segoe UI"/>
              </w:rPr>
              <w:br/>
              <w:t>m</w:t>
            </w:r>
            <w:r>
              <w:rPr>
                <w:rFonts w:cs="Segoe UI"/>
                <w:vertAlign w:val="superscript"/>
              </w:rPr>
              <w:t>2</w:t>
            </w:r>
          </w:p>
        </w:tc>
        <w:tc>
          <w:tcPr>
            <w:tcW w:w="3493" w:type="dxa"/>
            <w:shd w:val="clear" w:color="auto" w:fill="BFBFBF" w:themeFill="background1" w:themeFillShade="BF"/>
            <w:vAlign w:val="center"/>
          </w:tcPr>
          <w:p w14:paraId="6D57057E" w14:textId="77777777" w:rsidR="009859BB" w:rsidRPr="00B83ED2" w:rsidRDefault="009859BB" w:rsidP="00FD2DA6">
            <w:pPr>
              <w:pStyle w:val="STZHLAV"/>
              <w:jc w:val="left"/>
              <w:rPr>
                <w:rFonts w:cs="Segoe UI"/>
              </w:rPr>
            </w:pPr>
            <w:r>
              <w:rPr>
                <w:rFonts w:cs="Segoe UI"/>
              </w:rPr>
              <w:t>Velikost osvětlovacích otvorů</w:t>
            </w:r>
          </w:p>
        </w:tc>
        <w:tc>
          <w:tcPr>
            <w:tcW w:w="2053" w:type="dxa"/>
            <w:shd w:val="clear" w:color="auto" w:fill="BFBFBF" w:themeFill="background1" w:themeFillShade="BF"/>
            <w:vAlign w:val="center"/>
          </w:tcPr>
          <w:p w14:paraId="3E7A94DB" w14:textId="77777777" w:rsidR="009859BB" w:rsidRPr="00B83ED2" w:rsidRDefault="009859BB" w:rsidP="00FD2DA6">
            <w:pPr>
              <w:pStyle w:val="STZHLAV"/>
              <w:jc w:val="left"/>
              <w:rPr>
                <w:rFonts w:cs="Segoe UI"/>
              </w:rPr>
            </w:pPr>
            <w:r>
              <w:rPr>
                <w:rFonts w:cs="Segoe UI"/>
              </w:rPr>
              <w:t>Kontrolní bod</w:t>
            </w:r>
          </w:p>
        </w:tc>
      </w:tr>
      <w:tr w:rsidR="009859BB" w:rsidRPr="00B83ED2" w14:paraId="7AB336FA" w14:textId="77777777" w:rsidTr="009859BB">
        <w:trPr>
          <w:trHeight w:val="478"/>
        </w:trPr>
        <w:tc>
          <w:tcPr>
            <w:tcW w:w="1413" w:type="dxa"/>
            <w:shd w:val="clear" w:color="auto" w:fill="auto"/>
            <w:noWrap/>
            <w:vAlign w:val="center"/>
          </w:tcPr>
          <w:p w14:paraId="3A443CFD" w14:textId="77777777" w:rsidR="009859BB" w:rsidRPr="00B83ED2" w:rsidRDefault="009859BB" w:rsidP="00FD2DA6">
            <w:pPr>
              <w:pStyle w:val="STTABULKY"/>
              <w:rPr>
                <w:rFonts w:cs="Segoe UI"/>
              </w:rPr>
            </w:pPr>
            <w:r>
              <w:rPr>
                <w:rFonts w:cs="Segoe UI"/>
              </w:rPr>
              <w:t>Pokoj 1</w:t>
            </w:r>
          </w:p>
        </w:tc>
        <w:tc>
          <w:tcPr>
            <w:tcW w:w="925" w:type="dxa"/>
            <w:shd w:val="clear" w:color="auto" w:fill="auto"/>
            <w:noWrap/>
            <w:vAlign w:val="center"/>
          </w:tcPr>
          <w:p w14:paraId="66E482DC" w14:textId="77777777" w:rsidR="009859BB" w:rsidRPr="00904061" w:rsidRDefault="009859BB" w:rsidP="00FD2DA6">
            <w:pPr>
              <w:pStyle w:val="STTABULKY"/>
              <w:jc w:val="center"/>
              <w:rPr>
                <w:rFonts w:cs="Segoe UI"/>
                <w:vertAlign w:val="superscript"/>
              </w:rPr>
            </w:pPr>
            <w:r>
              <w:rPr>
                <w:rFonts w:cs="Segoe UI"/>
              </w:rPr>
              <w:t>ano</w:t>
            </w:r>
            <w:r>
              <w:rPr>
                <w:rFonts w:cs="Segoe UI"/>
              </w:rPr>
              <w:br/>
              <w:t>≥ 8 m</w:t>
            </w:r>
            <w:r w:rsidRPr="00904061">
              <w:rPr>
                <w:rFonts w:cs="Segoe UI"/>
                <w:vertAlign w:val="superscript"/>
              </w:rPr>
              <w:t>2</w:t>
            </w:r>
          </w:p>
        </w:tc>
        <w:tc>
          <w:tcPr>
            <w:tcW w:w="995" w:type="dxa"/>
            <w:shd w:val="clear" w:color="auto" w:fill="auto"/>
            <w:vAlign w:val="center"/>
          </w:tcPr>
          <w:p w14:paraId="677D20AA" w14:textId="77777777" w:rsidR="009859BB" w:rsidRPr="00B83ED2" w:rsidRDefault="009859BB" w:rsidP="00FD2DA6">
            <w:pPr>
              <w:pStyle w:val="STTABULKY"/>
              <w:jc w:val="center"/>
              <w:rPr>
                <w:rFonts w:cs="Segoe UI"/>
              </w:rPr>
            </w:pPr>
            <w:r>
              <w:rPr>
                <w:rFonts w:cs="Segoe UI"/>
              </w:rPr>
              <w:t>12,01</w:t>
            </w:r>
          </w:p>
        </w:tc>
        <w:tc>
          <w:tcPr>
            <w:tcW w:w="3493" w:type="dxa"/>
            <w:shd w:val="clear" w:color="auto" w:fill="auto"/>
            <w:vAlign w:val="center"/>
          </w:tcPr>
          <w:p w14:paraId="465B056E" w14:textId="77777777" w:rsidR="009859BB" w:rsidRPr="00904061" w:rsidRDefault="009859BB" w:rsidP="00FD2DA6">
            <w:pPr>
              <w:pStyle w:val="STTABULKY"/>
              <w:rPr>
                <w:rFonts w:cs="Segoe UI"/>
                <w:vertAlign w:val="superscript"/>
              </w:rPr>
            </w:pPr>
            <w:r>
              <w:rPr>
                <w:rFonts w:cs="Segoe UI"/>
              </w:rPr>
              <w:t xml:space="preserve"> 1,5 x 1,5 = 2,25&gt;1,201 m</w:t>
            </w:r>
            <w:r>
              <w:rPr>
                <w:rFonts w:cs="Segoe UI"/>
                <w:vertAlign w:val="superscript"/>
              </w:rPr>
              <w:t>2</w:t>
            </w:r>
          </w:p>
        </w:tc>
        <w:tc>
          <w:tcPr>
            <w:tcW w:w="2053" w:type="dxa"/>
            <w:shd w:val="clear" w:color="auto" w:fill="auto"/>
            <w:vAlign w:val="center"/>
          </w:tcPr>
          <w:p w14:paraId="2CEC277A" w14:textId="77777777" w:rsidR="009859BB" w:rsidRPr="00B83ED2" w:rsidRDefault="009859BB" w:rsidP="00FD2DA6">
            <w:pPr>
              <w:pStyle w:val="STTABULKY"/>
              <w:rPr>
                <w:rFonts w:cs="Segoe UI"/>
              </w:rPr>
            </w:pPr>
            <w:r>
              <w:rPr>
                <w:rFonts w:cs="Segoe UI"/>
              </w:rPr>
              <w:t>ano</w:t>
            </w:r>
          </w:p>
        </w:tc>
      </w:tr>
      <w:tr w:rsidR="009859BB" w:rsidRPr="00B83ED2" w14:paraId="55976244" w14:textId="77777777" w:rsidTr="009859BB">
        <w:trPr>
          <w:trHeight w:val="422"/>
        </w:trPr>
        <w:tc>
          <w:tcPr>
            <w:tcW w:w="1413" w:type="dxa"/>
            <w:shd w:val="clear" w:color="auto" w:fill="auto"/>
            <w:noWrap/>
            <w:vAlign w:val="center"/>
          </w:tcPr>
          <w:p w14:paraId="485115D9" w14:textId="77777777" w:rsidR="009859BB" w:rsidRPr="00B83ED2" w:rsidRDefault="009859BB" w:rsidP="00FD2DA6">
            <w:pPr>
              <w:pStyle w:val="STTABULKY"/>
              <w:rPr>
                <w:rFonts w:cs="Segoe UI"/>
              </w:rPr>
            </w:pPr>
            <w:r>
              <w:rPr>
                <w:rFonts w:cs="Segoe UI"/>
              </w:rPr>
              <w:t>Pokoj 2</w:t>
            </w:r>
          </w:p>
        </w:tc>
        <w:tc>
          <w:tcPr>
            <w:tcW w:w="925" w:type="dxa"/>
            <w:shd w:val="clear" w:color="auto" w:fill="auto"/>
            <w:noWrap/>
            <w:vAlign w:val="center"/>
          </w:tcPr>
          <w:p w14:paraId="69BFF794" w14:textId="77777777" w:rsidR="009859BB" w:rsidRPr="00B83ED2" w:rsidRDefault="009859BB" w:rsidP="00FD2DA6">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95" w:type="dxa"/>
            <w:shd w:val="clear" w:color="auto" w:fill="auto"/>
            <w:vAlign w:val="center"/>
          </w:tcPr>
          <w:p w14:paraId="0489C921" w14:textId="77777777" w:rsidR="009859BB" w:rsidRPr="00B83ED2" w:rsidRDefault="009859BB" w:rsidP="00FD2DA6">
            <w:pPr>
              <w:pStyle w:val="STTABULKY"/>
              <w:jc w:val="center"/>
              <w:rPr>
                <w:rFonts w:cs="Segoe UI"/>
              </w:rPr>
            </w:pPr>
            <w:r>
              <w:rPr>
                <w:rFonts w:cs="Segoe UI"/>
              </w:rPr>
              <w:t>12,74</w:t>
            </w:r>
          </w:p>
        </w:tc>
        <w:tc>
          <w:tcPr>
            <w:tcW w:w="3493" w:type="dxa"/>
            <w:shd w:val="clear" w:color="auto" w:fill="auto"/>
            <w:vAlign w:val="center"/>
          </w:tcPr>
          <w:p w14:paraId="34F59ABB" w14:textId="77777777" w:rsidR="009859BB" w:rsidRPr="00B83ED2" w:rsidRDefault="009859BB" w:rsidP="00FD2DA6">
            <w:pPr>
              <w:pStyle w:val="STTABULKY"/>
              <w:rPr>
                <w:rFonts w:cs="Segoe UI"/>
              </w:rPr>
            </w:pPr>
            <w:r>
              <w:rPr>
                <w:rFonts w:cs="Segoe UI"/>
              </w:rPr>
              <w:t>1,5 x 1,5 = 2,25&gt;1,27 m</w:t>
            </w:r>
            <w:r>
              <w:rPr>
                <w:rFonts w:cs="Segoe UI"/>
                <w:vertAlign w:val="superscript"/>
              </w:rPr>
              <w:t>2</w:t>
            </w:r>
          </w:p>
        </w:tc>
        <w:tc>
          <w:tcPr>
            <w:tcW w:w="2053" w:type="dxa"/>
            <w:shd w:val="clear" w:color="auto" w:fill="auto"/>
            <w:vAlign w:val="center"/>
          </w:tcPr>
          <w:p w14:paraId="4D3DC40F" w14:textId="77777777" w:rsidR="009859BB" w:rsidRPr="00B83ED2" w:rsidRDefault="009859BB" w:rsidP="00FD2DA6">
            <w:pPr>
              <w:pStyle w:val="STTABULKY"/>
              <w:rPr>
                <w:rFonts w:cs="Segoe UI"/>
              </w:rPr>
            </w:pPr>
            <w:r>
              <w:rPr>
                <w:rFonts w:cs="Segoe UI"/>
              </w:rPr>
              <w:t>ano</w:t>
            </w:r>
          </w:p>
        </w:tc>
      </w:tr>
      <w:tr w:rsidR="009859BB" w:rsidRPr="00B83ED2" w14:paraId="348CBF98" w14:textId="77777777" w:rsidTr="009859BB">
        <w:trPr>
          <w:trHeight w:val="422"/>
        </w:trPr>
        <w:tc>
          <w:tcPr>
            <w:tcW w:w="1413" w:type="dxa"/>
            <w:shd w:val="clear" w:color="auto" w:fill="auto"/>
            <w:noWrap/>
            <w:vAlign w:val="center"/>
          </w:tcPr>
          <w:p w14:paraId="2BA1BD58" w14:textId="77777777" w:rsidR="009859BB" w:rsidRPr="00B83ED2" w:rsidRDefault="009859BB" w:rsidP="00FD2DA6">
            <w:pPr>
              <w:pStyle w:val="STTABULKY"/>
              <w:rPr>
                <w:rFonts w:cs="Segoe UI"/>
              </w:rPr>
            </w:pPr>
            <w:r>
              <w:rPr>
                <w:rFonts w:cs="Segoe UI"/>
              </w:rPr>
              <w:t>Kancelář</w:t>
            </w:r>
          </w:p>
        </w:tc>
        <w:tc>
          <w:tcPr>
            <w:tcW w:w="925" w:type="dxa"/>
            <w:shd w:val="clear" w:color="auto" w:fill="auto"/>
            <w:noWrap/>
            <w:vAlign w:val="center"/>
          </w:tcPr>
          <w:p w14:paraId="76E9AF5C" w14:textId="77777777" w:rsidR="009859BB" w:rsidRPr="00B83ED2" w:rsidRDefault="009859BB" w:rsidP="00FD2DA6">
            <w:pPr>
              <w:pStyle w:val="STTABULKY"/>
              <w:jc w:val="center"/>
              <w:rPr>
                <w:rFonts w:cs="Segoe UI"/>
              </w:rPr>
            </w:pPr>
            <w:r>
              <w:rPr>
                <w:rFonts w:cs="Segoe UI"/>
              </w:rPr>
              <w:t>ano</w:t>
            </w:r>
            <w:r>
              <w:rPr>
                <w:rFonts w:cs="Segoe UI"/>
              </w:rPr>
              <w:br/>
              <w:t>≥ 12 m</w:t>
            </w:r>
            <w:r w:rsidRPr="00F1175D">
              <w:rPr>
                <w:rFonts w:cs="Segoe UI"/>
                <w:vertAlign w:val="superscript"/>
              </w:rPr>
              <w:t>2</w:t>
            </w:r>
          </w:p>
        </w:tc>
        <w:tc>
          <w:tcPr>
            <w:tcW w:w="995" w:type="dxa"/>
            <w:shd w:val="clear" w:color="auto" w:fill="auto"/>
            <w:vAlign w:val="center"/>
          </w:tcPr>
          <w:p w14:paraId="7DF946D1" w14:textId="77777777" w:rsidR="009859BB" w:rsidRPr="00B83ED2" w:rsidRDefault="009859BB" w:rsidP="00FD2DA6">
            <w:pPr>
              <w:pStyle w:val="STTABULKY"/>
              <w:jc w:val="center"/>
              <w:rPr>
                <w:rFonts w:cs="Segoe UI"/>
              </w:rPr>
            </w:pPr>
            <w:r>
              <w:rPr>
                <w:rFonts w:cs="Segoe UI"/>
              </w:rPr>
              <w:t>12,01</w:t>
            </w:r>
          </w:p>
        </w:tc>
        <w:tc>
          <w:tcPr>
            <w:tcW w:w="3493" w:type="dxa"/>
            <w:shd w:val="clear" w:color="auto" w:fill="auto"/>
            <w:vAlign w:val="center"/>
          </w:tcPr>
          <w:p w14:paraId="5F1EBD6E" w14:textId="77777777" w:rsidR="009859BB" w:rsidRPr="00B83ED2" w:rsidRDefault="009859BB" w:rsidP="00FD2DA6">
            <w:pPr>
              <w:pStyle w:val="STTABULKY"/>
              <w:rPr>
                <w:rFonts w:cs="Segoe UI"/>
              </w:rPr>
            </w:pPr>
            <w:r>
              <w:rPr>
                <w:rFonts w:cs="Segoe UI"/>
              </w:rPr>
              <w:t>1,5 x 1,5 = 2,25&gt;1,201 m</w:t>
            </w:r>
            <w:r>
              <w:rPr>
                <w:rFonts w:cs="Segoe UI"/>
                <w:vertAlign w:val="superscript"/>
              </w:rPr>
              <w:t>2</w:t>
            </w:r>
          </w:p>
        </w:tc>
        <w:tc>
          <w:tcPr>
            <w:tcW w:w="2053" w:type="dxa"/>
            <w:shd w:val="clear" w:color="auto" w:fill="auto"/>
            <w:vAlign w:val="center"/>
          </w:tcPr>
          <w:p w14:paraId="39560864" w14:textId="77777777" w:rsidR="009859BB" w:rsidRPr="00B83ED2" w:rsidRDefault="009859BB" w:rsidP="00FD2DA6">
            <w:pPr>
              <w:pStyle w:val="STTABULKY"/>
              <w:rPr>
                <w:rFonts w:cs="Segoe UI"/>
              </w:rPr>
            </w:pPr>
            <w:r>
              <w:rPr>
                <w:rFonts w:cs="Segoe UI"/>
              </w:rPr>
              <w:t>ano</w:t>
            </w:r>
          </w:p>
        </w:tc>
      </w:tr>
      <w:tr w:rsidR="009859BB" w:rsidRPr="00B83ED2" w14:paraId="5AF5CD61" w14:textId="77777777" w:rsidTr="009859BB">
        <w:trPr>
          <w:trHeight w:val="422"/>
        </w:trPr>
        <w:tc>
          <w:tcPr>
            <w:tcW w:w="1413" w:type="dxa"/>
            <w:shd w:val="clear" w:color="auto" w:fill="auto"/>
            <w:noWrap/>
            <w:vAlign w:val="center"/>
          </w:tcPr>
          <w:p w14:paraId="169EE6D7" w14:textId="77777777" w:rsidR="009859BB" w:rsidRPr="00B83ED2" w:rsidRDefault="009859BB" w:rsidP="00FD2DA6">
            <w:pPr>
              <w:pStyle w:val="STTABULKY"/>
              <w:rPr>
                <w:rFonts w:cs="Segoe UI"/>
              </w:rPr>
            </w:pPr>
            <w:r>
              <w:rPr>
                <w:rFonts w:cs="Segoe UI"/>
              </w:rPr>
              <w:t>Pokoj 3</w:t>
            </w:r>
          </w:p>
        </w:tc>
        <w:tc>
          <w:tcPr>
            <w:tcW w:w="925" w:type="dxa"/>
            <w:shd w:val="clear" w:color="auto" w:fill="auto"/>
            <w:noWrap/>
            <w:vAlign w:val="center"/>
          </w:tcPr>
          <w:p w14:paraId="690A778E" w14:textId="77777777" w:rsidR="009859BB" w:rsidRPr="00B83ED2" w:rsidRDefault="009859BB" w:rsidP="00FD2DA6">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95" w:type="dxa"/>
            <w:shd w:val="clear" w:color="auto" w:fill="auto"/>
            <w:vAlign w:val="center"/>
          </w:tcPr>
          <w:p w14:paraId="51997E4B" w14:textId="77777777" w:rsidR="009859BB" w:rsidRPr="00B83ED2" w:rsidRDefault="009859BB" w:rsidP="00FD2DA6">
            <w:pPr>
              <w:pStyle w:val="STTABULKY"/>
              <w:jc w:val="center"/>
              <w:rPr>
                <w:rFonts w:cs="Segoe UI"/>
              </w:rPr>
            </w:pPr>
            <w:r>
              <w:rPr>
                <w:rFonts w:cs="Segoe UI"/>
              </w:rPr>
              <w:t>12,85</w:t>
            </w:r>
          </w:p>
        </w:tc>
        <w:tc>
          <w:tcPr>
            <w:tcW w:w="3493" w:type="dxa"/>
            <w:shd w:val="clear" w:color="auto" w:fill="auto"/>
            <w:vAlign w:val="center"/>
          </w:tcPr>
          <w:p w14:paraId="088ED8D1" w14:textId="77777777" w:rsidR="009859BB" w:rsidRPr="00B83ED2" w:rsidRDefault="009859BB" w:rsidP="00FD2DA6">
            <w:pPr>
              <w:pStyle w:val="STTABULKY"/>
              <w:rPr>
                <w:rFonts w:cs="Segoe UI"/>
              </w:rPr>
            </w:pPr>
            <w:r>
              <w:rPr>
                <w:rFonts w:cs="Segoe UI"/>
              </w:rPr>
              <w:t>1,5 x 1,5 = 2,25&gt;1,285 m</w:t>
            </w:r>
            <w:r>
              <w:rPr>
                <w:rFonts w:cs="Segoe UI"/>
                <w:vertAlign w:val="superscript"/>
              </w:rPr>
              <w:t>2</w:t>
            </w:r>
          </w:p>
        </w:tc>
        <w:tc>
          <w:tcPr>
            <w:tcW w:w="2053" w:type="dxa"/>
            <w:shd w:val="clear" w:color="auto" w:fill="auto"/>
            <w:vAlign w:val="center"/>
          </w:tcPr>
          <w:p w14:paraId="6B208E09" w14:textId="77777777" w:rsidR="009859BB" w:rsidRPr="00B83ED2" w:rsidRDefault="009859BB" w:rsidP="00FD2DA6">
            <w:pPr>
              <w:pStyle w:val="STTABULKY"/>
              <w:rPr>
                <w:rFonts w:cs="Segoe UI"/>
              </w:rPr>
            </w:pPr>
            <w:r>
              <w:rPr>
                <w:rFonts w:cs="Segoe UI"/>
              </w:rPr>
              <w:t>ano</w:t>
            </w:r>
          </w:p>
        </w:tc>
      </w:tr>
      <w:tr w:rsidR="009859BB" w:rsidRPr="00B83ED2" w14:paraId="746534C8" w14:textId="77777777" w:rsidTr="009859BB">
        <w:trPr>
          <w:trHeight w:val="422"/>
        </w:trPr>
        <w:tc>
          <w:tcPr>
            <w:tcW w:w="1413" w:type="dxa"/>
            <w:shd w:val="clear" w:color="auto" w:fill="auto"/>
            <w:noWrap/>
            <w:vAlign w:val="center"/>
          </w:tcPr>
          <w:p w14:paraId="22D4E179" w14:textId="77777777" w:rsidR="009859BB" w:rsidRPr="00B83ED2" w:rsidRDefault="009859BB" w:rsidP="00FD2DA6">
            <w:pPr>
              <w:pStyle w:val="STTABULKY"/>
              <w:rPr>
                <w:rFonts w:cs="Segoe UI"/>
              </w:rPr>
            </w:pPr>
            <w:r>
              <w:rPr>
                <w:rFonts w:cs="Segoe UI"/>
              </w:rPr>
              <w:t>Pokoj 4</w:t>
            </w:r>
          </w:p>
        </w:tc>
        <w:tc>
          <w:tcPr>
            <w:tcW w:w="925" w:type="dxa"/>
            <w:shd w:val="clear" w:color="auto" w:fill="auto"/>
            <w:noWrap/>
            <w:vAlign w:val="center"/>
          </w:tcPr>
          <w:p w14:paraId="5BDAB3A0" w14:textId="77777777" w:rsidR="009859BB" w:rsidRPr="00B83ED2" w:rsidRDefault="009859BB" w:rsidP="00FD2DA6">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95" w:type="dxa"/>
            <w:shd w:val="clear" w:color="auto" w:fill="auto"/>
            <w:vAlign w:val="center"/>
          </w:tcPr>
          <w:p w14:paraId="7029E4B4" w14:textId="77777777" w:rsidR="009859BB" w:rsidRPr="00B83ED2" w:rsidRDefault="009859BB" w:rsidP="00FD2DA6">
            <w:pPr>
              <w:pStyle w:val="STTABULKY"/>
              <w:jc w:val="center"/>
              <w:rPr>
                <w:rFonts w:cs="Segoe UI"/>
              </w:rPr>
            </w:pPr>
            <w:r>
              <w:rPr>
                <w:rFonts w:cs="Segoe UI"/>
              </w:rPr>
              <w:t>18,94</w:t>
            </w:r>
          </w:p>
        </w:tc>
        <w:tc>
          <w:tcPr>
            <w:tcW w:w="3493" w:type="dxa"/>
            <w:shd w:val="clear" w:color="auto" w:fill="auto"/>
            <w:vAlign w:val="center"/>
          </w:tcPr>
          <w:p w14:paraId="1237B698" w14:textId="77777777" w:rsidR="009859BB" w:rsidRPr="00B83ED2" w:rsidRDefault="009859BB" w:rsidP="00FD2DA6">
            <w:pPr>
              <w:pStyle w:val="STTABULKY"/>
              <w:rPr>
                <w:rFonts w:cs="Segoe UI"/>
              </w:rPr>
            </w:pPr>
            <w:r>
              <w:rPr>
                <w:rFonts w:cs="Segoe UI"/>
              </w:rPr>
              <w:t>2 x 0,9x1,6 + 0,9 x 0,93 =3,7 &gt;1,89 m</w:t>
            </w:r>
            <w:r>
              <w:rPr>
                <w:rFonts w:cs="Segoe UI"/>
                <w:vertAlign w:val="superscript"/>
              </w:rPr>
              <w:t>2</w:t>
            </w:r>
          </w:p>
        </w:tc>
        <w:tc>
          <w:tcPr>
            <w:tcW w:w="2053" w:type="dxa"/>
            <w:shd w:val="clear" w:color="auto" w:fill="auto"/>
            <w:vAlign w:val="center"/>
          </w:tcPr>
          <w:p w14:paraId="7E649997" w14:textId="77777777" w:rsidR="009859BB" w:rsidRPr="00B83ED2" w:rsidRDefault="009859BB" w:rsidP="00FD2DA6">
            <w:pPr>
              <w:pStyle w:val="STTABULKY"/>
              <w:rPr>
                <w:rFonts w:cs="Segoe UI"/>
              </w:rPr>
            </w:pPr>
            <w:r>
              <w:rPr>
                <w:rFonts w:cs="Segoe UI"/>
              </w:rPr>
              <w:t>ne (sever)</w:t>
            </w:r>
          </w:p>
        </w:tc>
      </w:tr>
      <w:tr w:rsidR="009859BB" w:rsidRPr="00B83ED2" w14:paraId="3A791A44" w14:textId="77777777" w:rsidTr="009859BB">
        <w:trPr>
          <w:trHeight w:val="422"/>
        </w:trPr>
        <w:tc>
          <w:tcPr>
            <w:tcW w:w="1413" w:type="dxa"/>
            <w:shd w:val="clear" w:color="auto" w:fill="auto"/>
            <w:noWrap/>
            <w:vAlign w:val="center"/>
          </w:tcPr>
          <w:p w14:paraId="69A6D178" w14:textId="77777777" w:rsidR="009859BB" w:rsidRPr="00B83ED2" w:rsidRDefault="009859BB" w:rsidP="00FD2DA6">
            <w:pPr>
              <w:pStyle w:val="STTABULKY"/>
              <w:rPr>
                <w:rFonts w:cs="Segoe UI"/>
              </w:rPr>
            </w:pPr>
            <w:r>
              <w:rPr>
                <w:rFonts w:cs="Segoe UI"/>
              </w:rPr>
              <w:t>Pokoj 5</w:t>
            </w:r>
          </w:p>
        </w:tc>
        <w:tc>
          <w:tcPr>
            <w:tcW w:w="925" w:type="dxa"/>
            <w:shd w:val="clear" w:color="auto" w:fill="auto"/>
            <w:noWrap/>
            <w:vAlign w:val="center"/>
          </w:tcPr>
          <w:p w14:paraId="3FBEC954" w14:textId="77777777" w:rsidR="009859BB" w:rsidRPr="00B83ED2" w:rsidRDefault="009859BB" w:rsidP="00FD2DA6">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95" w:type="dxa"/>
            <w:shd w:val="clear" w:color="auto" w:fill="auto"/>
            <w:vAlign w:val="center"/>
          </w:tcPr>
          <w:p w14:paraId="153E621A" w14:textId="77777777" w:rsidR="009859BB" w:rsidRPr="00B83ED2" w:rsidRDefault="009859BB" w:rsidP="00FD2DA6">
            <w:pPr>
              <w:pStyle w:val="STTABULKY"/>
              <w:jc w:val="center"/>
              <w:rPr>
                <w:rFonts w:cs="Segoe UI"/>
              </w:rPr>
            </w:pPr>
            <w:r>
              <w:rPr>
                <w:rFonts w:cs="Segoe UI"/>
              </w:rPr>
              <w:t>10,53</w:t>
            </w:r>
          </w:p>
        </w:tc>
        <w:tc>
          <w:tcPr>
            <w:tcW w:w="3493" w:type="dxa"/>
            <w:shd w:val="clear" w:color="auto" w:fill="auto"/>
            <w:vAlign w:val="center"/>
          </w:tcPr>
          <w:p w14:paraId="154636F8" w14:textId="77777777" w:rsidR="009859BB" w:rsidRPr="00B83ED2" w:rsidRDefault="009859BB" w:rsidP="00FD2DA6">
            <w:pPr>
              <w:pStyle w:val="STTABULKY"/>
              <w:rPr>
                <w:rFonts w:cs="Segoe UI"/>
              </w:rPr>
            </w:pPr>
            <w:r>
              <w:rPr>
                <w:rFonts w:cs="Segoe UI"/>
              </w:rPr>
              <w:t>1,5 x 1,5 = 2,25&gt;1,15 m</w:t>
            </w:r>
            <w:r>
              <w:rPr>
                <w:rFonts w:cs="Segoe UI"/>
                <w:vertAlign w:val="superscript"/>
              </w:rPr>
              <w:t>2</w:t>
            </w:r>
          </w:p>
        </w:tc>
        <w:tc>
          <w:tcPr>
            <w:tcW w:w="2053" w:type="dxa"/>
            <w:shd w:val="clear" w:color="auto" w:fill="auto"/>
            <w:vAlign w:val="center"/>
          </w:tcPr>
          <w:p w14:paraId="41B7926C" w14:textId="77777777" w:rsidR="009859BB" w:rsidRPr="00B83ED2" w:rsidRDefault="009859BB" w:rsidP="00FD2DA6">
            <w:pPr>
              <w:pStyle w:val="STTABULKY"/>
              <w:rPr>
                <w:rFonts w:cs="Segoe UI"/>
              </w:rPr>
            </w:pPr>
            <w:r>
              <w:rPr>
                <w:rFonts w:cs="Segoe UI"/>
              </w:rPr>
              <w:t>ne (sever)</w:t>
            </w:r>
          </w:p>
        </w:tc>
      </w:tr>
      <w:tr w:rsidR="009859BB" w:rsidRPr="00B83ED2" w14:paraId="75CC63ED" w14:textId="77777777" w:rsidTr="009859BB">
        <w:trPr>
          <w:trHeight w:val="422"/>
        </w:trPr>
        <w:tc>
          <w:tcPr>
            <w:tcW w:w="1413" w:type="dxa"/>
            <w:shd w:val="clear" w:color="auto" w:fill="auto"/>
            <w:noWrap/>
            <w:vAlign w:val="center"/>
          </w:tcPr>
          <w:p w14:paraId="52F18528" w14:textId="77777777" w:rsidR="009859BB" w:rsidRPr="00B83ED2" w:rsidRDefault="009859BB" w:rsidP="00FD2DA6">
            <w:pPr>
              <w:pStyle w:val="STTABULKY"/>
              <w:rPr>
                <w:rFonts w:cs="Segoe UI"/>
              </w:rPr>
            </w:pPr>
            <w:r>
              <w:rPr>
                <w:rFonts w:cs="Segoe UI"/>
              </w:rPr>
              <w:t>Pokoj 6</w:t>
            </w:r>
          </w:p>
        </w:tc>
        <w:tc>
          <w:tcPr>
            <w:tcW w:w="925" w:type="dxa"/>
            <w:shd w:val="clear" w:color="auto" w:fill="auto"/>
            <w:noWrap/>
            <w:vAlign w:val="center"/>
          </w:tcPr>
          <w:p w14:paraId="168E434C" w14:textId="77777777" w:rsidR="009859BB" w:rsidRPr="00B83ED2" w:rsidRDefault="009859BB" w:rsidP="00FD2DA6">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95" w:type="dxa"/>
            <w:shd w:val="clear" w:color="auto" w:fill="auto"/>
            <w:vAlign w:val="center"/>
          </w:tcPr>
          <w:p w14:paraId="6AB8866F" w14:textId="77777777" w:rsidR="009859BB" w:rsidRPr="00B83ED2" w:rsidRDefault="009859BB" w:rsidP="00FD2DA6">
            <w:pPr>
              <w:pStyle w:val="STTABULKY"/>
              <w:jc w:val="center"/>
              <w:rPr>
                <w:rFonts w:cs="Segoe UI"/>
              </w:rPr>
            </w:pPr>
            <w:r>
              <w:rPr>
                <w:rFonts w:cs="Segoe UI"/>
              </w:rPr>
              <w:t>10,96</w:t>
            </w:r>
          </w:p>
        </w:tc>
        <w:tc>
          <w:tcPr>
            <w:tcW w:w="3493" w:type="dxa"/>
            <w:shd w:val="clear" w:color="auto" w:fill="auto"/>
            <w:vAlign w:val="center"/>
          </w:tcPr>
          <w:p w14:paraId="440A49A2" w14:textId="77777777" w:rsidR="009859BB" w:rsidRPr="00B83ED2" w:rsidRDefault="009859BB" w:rsidP="00FD2DA6">
            <w:pPr>
              <w:pStyle w:val="STTABULKY"/>
              <w:rPr>
                <w:rFonts w:cs="Segoe UI"/>
              </w:rPr>
            </w:pPr>
            <w:r>
              <w:rPr>
                <w:rFonts w:cs="Segoe UI"/>
              </w:rPr>
              <w:t>1,5 x 1,5 = 2,25&gt;1,09 m</w:t>
            </w:r>
            <w:r>
              <w:rPr>
                <w:rFonts w:cs="Segoe UI"/>
                <w:vertAlign w:val="superscript"/>
              </w:rPr>
              <w:t>2</w:t>
            </w:r>
          </w:p>
        </w:tc>
        <w:tc>
          <w:tcPr>
            <w:tcW w:w="2053" w:type="dxa"/>
            <w:shd w:val="clear" w:color="auto" w:fill="auto"/>
            <w:vAlign w:val="center"/>
          </w:tcPr>
          <w:p w14:paraId="59B7A89D" w14:textId="77777777" w:rsidR="009859BB" w:rsidRPr="00B83ED2" w:rsidRDefault="009859BB" w:rsidP="00FD2DA6">
            <w:pPr>
              <w:pStyle w:val="STTABULKY"/>
              <w:rPr>
                <w:rFonts w:cs="Segoe UI"/>
              </w:rPr>
            </w:pPr>
            <w:r>
              <w:rPr>
                <w:rFonts w:cs="Segoe UI"/>
              </w:rPr>
              <w:t>ano</w:t>
            </w:r>
          </w:p>
        </w:tc>
      </w:tr>
      <w:tr w:rsidR="009859BB" w:rsidRPr="00B83ED2" w14:paraId="5F956F94" w14:textId="77777777" w:rsidTr="009859BB">
        <w:trPr>
          <w:trHeight w:val="422"/>
        </w:trPr>
        <w:tc>
          <w:tcPr>
            <w:tcW w:w="1413" w:type="dxa"/>
            <w:shd w:val="clear" w:color="auto" w:fill="auto"/>
            <w:noWrap/>
            <w:vAlign w:val="center"/>
          </w:tcPr>
          <w:p w14:paraId="3D227395" w14:textId="77777777" w:rsidR="009859BB" w:rsidRPr="00B83ED2" w:rsidRDefault="009859BB" w:rsidP="00FD2DA6">
            <w:pPr>
              <w:pStyle w:val="STTABULKY"/>
              <w:rPr>
                <w:rFonts w:cs="Segoe UI"/>
              </w:rPr>
            </w:pPr>
            <w:r>
              <w:rPr>
                <w:rFonts w:cs="Segoe UI"/>
              </w:rPr>
              <w:t>Obytná hala – jídelna</w:t>
            </w:r>
          </w:p>
        </w:tc>
        <w:tc>
          <w:tcPr>
            <w:tcW w:w="925" w:type="dxa"/>
            <w:shd w:val="clear" w:color="auto" w:fill="auto"/>
            <w:noWrap/>
            <w:vAlign w:val="center"/>
          </w:tcPr>
          <w:p w14:paraId="6DB8F7F6" w14:textId="77777777" w:rsidR="009859BB" w:rsidRPr="00B83ED2" w:rsidRDefault="009859BB" w:rsidP="00FD2DA6">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95" w:type="dxa"/>
            <w:shd w:val="clear" w:color="auto" w:fill="auto"/>
            <w:vAlign w:val="center"/>
          </w:tcPr>
          <w:p w14:paraId="6C0D9A97" w14:textId="77777777" w:rsidR="009859BB" w:rsidRPr="00B83ED2" w:rsidRDefault="009859BB" w:rsidP="00FD2DA6">
            <w:pPr>
              <w:pStyle w:val="STTABULKY"/>
              <w:jc w:val="center"/>
              <w:rPr>
                <w:rFonts w:cs="Segoe UI"/>
              </w:rPr>
            </w:pPr>
            <w:r>
              <w:rPr>
                <w:rFonts w:cs="Segoe UI"/>
              </w:rPr>
              <w:t>16,15</w:t>
            </w:r>
          </w:p>
        </w:tc>
        <w:tc>
          <w:tcPr>
            <w:tcW w:w="3493" w:type="dxa"/>
            <w:shd w:val="clear" w:color="auto" w:fill="auto"/>
            <w:vAlign w:val="center"/>
          </w:tcPr>
          <w:p w14:paraId="60F0875E" w14:textId="77777777" w:rsidR="009859BB" w:rsidRPr="00B83ED2" w:rsidRDefault="009859BB" w:rsidP="00FD2DA6">
            <w:pPr>
              <w:pStyle w:val="STTABULKY"/>
              <w:rPr>
                <w:rFonts w:cs="Segoe UI"/>
              </w:rPr>
            </w:pPr>
            <w:r>
              <w:rPr>
                <w:rFonts w:cs="Segoe UI"/>
              </w:rPr>
              <w:t>1,5 x 1,5 = 2,25&gt;1,62 m</w:t>
            </w:r>
            <w:r>
              <w:rPr>
                <w:rFonts w:cs="Segoe UI"/>
                <w:vertAlign w:val="superscript"/>
              </w:rPr>
              <w:t>2</w:t>
            </w:r>
          </w:p>
        </w:tc>
        <w:tc>
          <w:tcPr>
            <w:tcW w:w="2053" w:type="dxa"/>
            <w:shd w:val="clear" w:color="auto" w:fill="auto"/>
            <w:vAlign w:val="center"/>
          </w:tcPr>
          <w:p w14:paraId="06860C60" w14:textId="77777777" w:rsidR="009859BB" w:rsidRPr="00B83ED2" w:rsidRDefault="009859BB" w:rsidP="00FD2DA6">
            <w:pPr>
              <w:pStyle w:val="STTABULKY"/>
              <w:rPr>
                <w:rFonts w:cs="Segoe UI"/>
              </w:rPr>
            </w:pPr>
            <w:r>
              <w:rPr>
                <w:rFonts w:cs="Segoe UI"/>
              </w:rPr>
              <w:t>ano</w:t>
            </w:r>
          </w:p>
        </w:tc>
      </w:tr>
      <w:tr w:rsidR="009859BB" w:rsidRPr="00B83ED2" w14:paraId="038A69A1" w14:textId="77777777" w:rsidTr="009859BB">
        <w:trPr>
          <w:trHeight w:val="422"/>
        </w:trPr>
        <w:tc>
          <w:tcPr>
            <w:tcW w:w="1413" w:type="dxa"/>
            <w:shd w:val="clear" w:color="auto" w:fill="auto"/>
            <w:noWrap/>
            <w:vAlign w:val="center"/>
          </w:tcPr>
          <w:p w14:paraId="02E65D28" w14:textId="77777777" w:rsidR="009859BB" w:rsidRDefault="009859BB" w:rsidP="00FD2DA6">
            <w:pPr>
              <w:pStyle w:val="STTABULKY"/>
              <w:rPr>
                <w:rFonts w:cs="Segoe UI"/>
              </w:rPr>
            </w:pPr>
            <w:r>
              <w:rPr>
                <w:rFonts w:cs="Segoe UI"/>
              </w:rPr>
              <w:t>∑</w:t>
            </w:r>
          </w:p>
        </w:tc>
        <w:tc>
          <w:tcPr>
            <w:tcW w:w="925" w:type="dxa"/>
            <w:shd w:val="clear" w:color="auto" w:fill="auto"/>
            <w:noWrap/>
            <w:vAlign w:val="center"/>
          </w:tcPr>
          <w:p w14:paraId="5A907995" w14:textId="77777777" w:rsidR="009859BB" w:rsidRDefault="009859BB" w:rsidP="00FD2DA6">
            <w:pPr>
              <w:pStyle w:val="STTABULKY"/>
              <w:jc w:val="center"/>
              <w:rPr>
                <w:rFonts w:cs="Segoe UI"/>
              </w:rPr>
            </w:pPr>
          </w:p>
        </w:tc>
        <w:tc>
          <w:tcPr>
            <w:tcW w:w="995" w:type="dxa"/>
            <w:shd w:val="clear" w:color="auto" w:fill="auto"/>
            <w:vAlign w:val="center"/>
          </w:tcPr>
          <w:p w14:paraId="73952FDB" w14:textId="77777777" w:rsidR="009859BB" w:rsidRDefault="009859BB" w:rsidP="00FD2DA6">
            <w:pPr>
              <w:pStyle w:val="STTABULKY"/>
              <w:jc w:val="center"/>
              <w:rPr>
                <w:rFonts w:cs="Segoe UI"/>
              </w:rPr>
            </w:pPr>
            <w:r>
              <w:rPr>
                <w:rFonts w:cs="Segoe UI"/>
              </w:rPr>
              <w:t>106,67</w:t>
            </w:r>
          </w:p>
        </w:tc>
        <w:tc>
          <w:tcPr>
            <w:tcW w:w="3493" w:type="dxa"/>
            <w:shd w:val="clear" w:color="auto" w:fill="auto"/>
            <w:vAlign w:val="center"/>
          </w:tcPr>
          <w:p w14:paraId="3D59D686" w14:textId="77777777" w:rsidR="009859BB" w:rsidRDefault="009859BB" w:rsidP="00FD2DA6">
            <w:pPr>
              <w:pStyle w:val="STTABULKY"/>
              <w:rPr>
                <w:rFonts w:cs="Segoe UI"/>
              </w:rPr>
            </w:pPr>
          </w:p>
        </w:tc>
        <w:tc>
          <w:tcPr>
            <w:tcW w:w="2053" w:type="dxa"/>
            <w:shd w:val="clear" w:color="auto" w:fill="auto"/>
            <w:vAlign w:val="center"/>
          </w:tcPr>
          <w:p w14:paraId="3A87B729" w14:textId="77777777" w:rsidR="009859BB" w:rsidRDefault="009859BB" w:rsidP="00FD2DA6">
            <w:pPr>
              <w:pStyle w:val="STTABULKY"/>
              <w:rPr>
                <w:rFonts w:cs="Segoe UI"/>
              </w:rPr>
            </w:pPr>
          </w:p>
        </w:tc>
      </w:tr>
    </w:tbl>
    <w:bookmarkEnd w:id="216"/>
    <w:p w14:paraId="61668C39" w14:textId="65DE182A" w:rsidR="004F72FC" w:rsidRDefault="004F72FC" w:rsidP="00044B33">
      <w:pPr>
        <w:pStyle w:val="STNORMLN-2"/>
        <w:rPr>
          <w:rFonts w:cs="Segoe UI"/>
        </w:rPr>
      </w:pPr>
      <w:r>
        <w:rPr>
          <w:rFonts w:cs="Segoe UI"/>
        </w:rPr>
        <w:t xml:space="preserve">Součet </w:t>
      </w:r>
      <w:r w:rsidR="009D3086">
        <w:rPr>
          <w:rFonts w:cs="Segoe UI"/>
        </w:rPr>
        <w:t>prosluněných</w:t>
      </w:r>
      <w:r>
        <w:rPr>
          <w:rFonts w:cs="Segoe UI"/>
        </w:rPr>
        <w:t xml:space="preserve"> obytných místností se rovná </w:t>
      </w:r>
      <w:r w:rsidR="009D3086">
        <w:rPr>
          <w:rFonts w:cs="Segoe UI"/>
        </w:rPr>
        <w:t>76</w:t>
      </w:r>
      <w:r>
        <w:rPr>
          <w:rFonts w:cs="Segoe UI"/>
        </w:rPr>
        <w:t xml:space="preserve"> m</w:t>
      </w:r>
      <w:r>
        <w:rPr>
          <w:rFonts w:cs="Segoe UI"/>
          <w:vertAlign w:val="superscript"/>
        </w:rPr>
        <w:t>2</w:t>
      </w:r>
      <w:r>
        <w:rPr>
          <w:rFonts w:cs="Segoe UI"/>
        </w:rPr>
        <w:t>.  Požadavek, aby byla prosluněna alespoň 1/2 všech obytných ploch je dodržena dle ČS</w:t>
      </w:r>
      <w:r w:rsidR="009D3086">
        <w:rPr>
          <w:rFonts w:cs="Segoe UI"/>
        </w:rPr>
        <w:t>N 73 4301.</w:t>
      </w:r>
    </w:p>
    <w:p w14:paraId="5B8B79A3" w14:textId="03A7B29D" w:rsidR="00044B33" w:rsidRPr="00F44CE1" w:rsidRDefault="00044B33" w:rsidP="002D5BF2">
      <w:pPr>
        <w:pStyle w:val="STodrkyabc"/>
        <w:rPr>
          <w:b/>
        </w:rPr>
      </w:pPr>
      <w:r w:rsidRPr="00F44CE1">
        <w:t>Zásobování vodou</w:t>
      </w:r>
    </w:p>
    <w:p w14:paraId="537BF080" w14:textId="00B5D689" w:rsidR="00044B33" w:rsidRDefault="00DB3BFF" w:rsidP="00044B33">
      <w:pPr>
        <w:pStyle w:val="STNORMLN-2"/>
        <w:rPr>
          <w:rFonts w:cs="Segoe UI"/>
        </w:rPr>
      </w:pPr>
      <w:r>
        <w:rPr>
          <w:rFonts w:cs="Segoe UI"/>
        </w:rPr>
        <w:t>Návrh vnitřního vodovodu bude zpracován v souladu s platnými normami, vyhláškami a</w:t>
      </w:r>
      <w:r w:rsidR="00B53E48">
        <w:rPr>
          <w:rFonts w:cs="Segoe UI"/>
        </w:rPr>
        <w:t> </w:t>
      </w:r>
      <w:r>
        <w:rPr>
          <w:rFonts w:cs="Segoe UI"/>
        </w:rPr>
        <w:t>předpisy, a to zejména ČSN EN 806-1.</w:t>
      </w:r>
    </w:p>
    <w:p w14:paraId="7E2CA42E" w14:textId="777BD27E" w:rsidR="00044B33" w:rsidRDefault="00084795" w:rsidP="002D5BF2">
      <w:pPr>
        <w:pStyle w:val="STodrkyabc"/>
      </w:pPr>
      <w:r w:rsidRPr="00F44CE1">
        <w:t>Likvidace splaškových, dešťových vod</w:t>
      </w:r>
    </w:p>
    <w:p w14:paraId="414D26AD" w14:textId="1417F217" w:rsidR="001F5A2A" w:rsidRPr="00F44CE1" w:rsidRDefault="00FE150C" w:rsidP="00FE150C">
      <w:pPr>
        <w:pStyle w:val="STNORMLN-2"/>
        <w:rPr>
          <w:b/>
          <w:bCs/>
        </w:rPr>
      </w:pPr>
      <w:r>
        <w:t xml:space="preserve">Tímto tématem se zabývá stavební objekt, nazvaný </w:t>
      </w:r>
      <w:r w:rsidRPr="00F44CE1">
        <w:t>Vsakovací objekt</w:t>
      </w:r>
      <w:r>
        <w:t xml:space="preserve"> </w:t>
      </w:r>
      <w:r w:rsidR="001F5A2A" w:rsidRPr="00F44CE1">
        <w:t>SO 0301</w:t>
      </w:r>
      <w:r>
        <w:t>.</w:t>
      </w:r>
    </w:p>
    <w:p w14:paraId="43F68E37" w14:textId="77777777" w:rsidR="001F5A2A" w:rsidRDefault="00DB3BFF" w:rsidP="001F5A2A">
      <w:pPr>
        <w:pStyle w:val="STNORMLN-2"/>
      </w:pPr>
      <w:r>
        <w:rPr>
          <w:rFonts w:cs="Segoe UI"/>
        </w:rPr>
        <w:t>Návrh vnitřní kanalizace bude zpracován v souladu s platnými normami, vyhláškami a předpisy, a to zejména ČSN 75 6760 a EN ČSN 12056-1 až 5. Dešťové vody budou likvidovány ve smyslu zákona č.254/2001 Sb.</w:t>
      </w:r>
      <w:r w:rsidR="001F5A2A" w:rsidRPr="001F5A2A">
        <w:t xml:space="preserve"> </w:t>
      </w:r>
    </w:p>
    <w:p w14:paraId="7F390E64" w14:textId="592ACB8D" w:rsidR="001F5A2A" w:rsidRDefault="001F5A2A" w:rsidP="001F5A2A">
      <w:pPr>
        <w:pStyle w:val="STNORMLN-2"/>
      </w:pPr>
      <w:r>
        <w:t>Střecha o ploše 182 m</w:t>
      </w:r>
      <w:r>
        <w:rPr>
          <w:vertAlign w:val="superscript"/>
        </w:rPr>
        <w:t xml:space="preserve">2 </w:t>
      </w:r>
      <w:r>
        <w:t>bude odvodněna čtyřmi svody PVC110 do vsakovacího objektu. Střešní svody budou zakončeny lapači splavenin PVC110. Dešťové vody budou před vstupem do</w:t>
      </w:r>
      <w:r w:rsidR="004D0093">
        <w:t> </w:t>
      </w:r>
      <w:r>
        <w:t>vsakovacího objektu filtrovány v podzemní filtrační šachtě.</w:t>
      </w:r>
    </w:p>
    <w:p w14:paraId="4AEA19F3" w14:textId="12D6B5D4" w:rsidR="001F5A2A" w:rsidRDefault="001F5A2A" w:rsidP="001F5A2A">
      <w:pPr>
        <w:pStyle w:val="STNORMLN-2"/>
      </w:pPr>
      <w:r>
        <w:t>Ležaté kanalizační potrubí dešťové kanalizace v terénu je navrženo z tvrdého hrdlového potrubí PVC125 - dl. 19,0 m a PVC 160 - dl.v 5,5m. Plastové potrubí v zemní rýze bude uloženo na</w:t>
      </w:r>
      <w:r w:rsidR="004D0093">
        <w:t> </w:t>
      </w:r>
      <w:r>
        <w:t>pískové zhutněné lože tl. 150 mm a bude obsypáno pískem do výše min. 300 mm nad vrchol potrubí (viz montážní předpis výrobce). Minimální sklon dešťového kanalizačního ležatého potrubí je 1 %. Zemina při výkopu bude uložena vedle zemní rýhy a následně použita pro zásyp. Zbylá zemina bude odvezena k likvidaci.</w:t>
      </w:r>
    </w:p>
    <w:p w14:paraId="11F2506E" w14:textId="60E54ED7" w:rsidR="001F5A2A" w:rsidRDefault="001F5A2A" w:rsidP="001F5A2A">
      <w:pPr>
        <w:pStyle w:val="STNORMLN-2"/>
      </w:pPr>
      <w:r>
        <w:t xml:space="preserve">Vsakovací objekt bude z vsakovacích boxů obalených geotextílií. Vsakovací boxy </w:t>
      </w:r>
      <w:r w:rsidR="004D0093">
        <w:t>budou dvou</w:t>
      </w:r>
      <w:r>
        <w:t xml:space="preserve"> vrstvách na zhutněném podloží skládající se z 100 mm jemného štěrku frakce 0–8 mm a</w:t>
      </w:r>
      <w:r w:rsidR="004D0093">
        <w:t> </w:t>
      </w:r>
      <w:r>
        <w:t>200</w:t>
      </w:r>
      <w:r w:rsidR="004D0093">
        <w:t> </w:t>
      </w:r>
      <w:r>
        <w:t xml:space="preserve">mm hrubého štěrku frakce 16–32 mm, pokud výrobce nestanoví jinak. Vsakovací objekt </w:t>
      </w:r>
      <w:r w:rsidR="004D0093">
        <w:t>se osadí</w:t>
      </w:r>
      <w:r>
        <w:t xml:space="preserve"> do otevřené stavební jámy se sklony svahů 1:1 a bude odvětrán potrubím PVC110 </w:t>
      </w:r>
      <w:r w:rsidR="004D0093">
        <w:t xml:space="preserve">zakončeným </w:t>
      </w:r>
      <w:r>
        <w:t>větrací hlavicí.</w:t>
      </w:r>
    </w:p>
    <w:p w14:paraId="7461B01C" w14:textId="77777777" w:rsidR="001F5A2A" w:rsidRDefault="001F5A2A" w:rsidP="001F5A2A">
      <w:pPr>
        <w:pStyle w:val="STNORMLN-2"/>
      </w:pPr>
      <w:r>
        <w:t>Je nutné dodržet největší vypočtený retenční objem vsakovacího zařízení 6,2 m</w:t>
      </w:r>
      <w:r>
        <w:rPr>
          <w:vertAlign w:val="superscript"/>
        </w:rPr>
        <w:t>3</w:t>
      </w:r>
      <w:r>
        <w:t xml:space="preserve"> a velikost vsakovací plochy 10 m</w:t>
      </w:r>
      <w:r>
        <w:rPr>
          <w:vertAlign w:val="superscript"/>
        </w:rPr>
        <w:t>2</w:t>
      </w:r>
      <w:r>
        <w:t>.</w:t>
      </w:r>
    </w:p>
    <w:p w14:paraId="47BB1A41" w14:textId="59E6454C" w:rsidR="00084795" w:rsidRPr="00F44CE1" w:rsidRDefault="002305ED" w:rsidP="002D5BF2">
      <w:pPr>
        <w:pStyle w:val="STodrkyabc"/>
        <w:rPr>
          <w:b/>
        </w:rPr>
      </w:pPr>
      <w:r w:rsidRPr="00F44CE1">
        <w:t>Nakládání s</w:t>
      </w:r>
      <w:r w:rsidR="00084795" w:rsidRPr="00F44CE1">
        <w:t xml:space="preserve"> odpady</w:t>
      </w:r>
    </w:p>
    <w:p w14:paraId="33B9D3F9" w14:textId="267B63A0" w:rsidR="00131EC8" w:rsidRDefault="00DB3BFF" w:rsidP="00DB3BFF">
      <w:pPr>
        <w:pStyle w:val="STNORMLN-2"/>
      </w:pPr>
      <w:r w:rsidRPr="00DB3BFF">
        <w:t>Stavba sloužící k bydlení bude produkovat klasický odpad ve formě plastů, papíru, hadrů, elektroniky a jiného tříditelného odpadu, který bude ukládán do speciálních nádob vyvážených do příslušných veřejných kontejnerů nebo sběrných dvorů. Směsný komunální odpad, který již nebude tříděn bude ukládán do kontejnerů a pravidelně vyvážen technickou službou, kterou zajišťuje město.</w:t>
      </w:r>
    </w:p>
    <w:p w14:paraId="5707B7A5" w14:textId="66A9B156" w:rsidR="005539C1" w:rsidRDefault="005539C1" w:rsidP="005539C1">
      <w:pPr>
        <w:pStyle w:val="STNORMLN-2"/>
      </w:pPr>
      <w:bookmarkStart w:id="217" w:name="_Hlk18425850"/>
      <w:r>
        <w:t xml:space="preserve">Při výstavbě bude vznikat běžný stavební odpad, který bude tříděn do </w:t>
      </w:r>
      <w:r w:rsidR="00B53E48">
        <w:t xml:space="preserve">kontejnerů </w:t>
      </w:r>
      <w:r>
        <w:t>umístěných na staveništi a průběžně odvážen k ekologické likvidaci nebo druhotnému využití.</w:t>
      </w:r>
    </w:p>
    <w:p w14:paraId="5E1D1932" w14:textId="5D5572DB" w:rsidR="005539C1" w:rsidRDefault="005539C1" w:rsidP="005539C1">
      <w:pPr>
        <w:pStyle w:val="STNORMLN-2"/>
      </w:pPr>
      <w:r>
        <w:t>Odpadový materiál, vzniklý při demolici stávajících konstrukcí a při stavební činnost</w:t>
      </w:r>
      <w:r w:rsidR="00B53E48">
        <w:t>i,</w:t>
      </w:r>
      <w:r>
        <w:t xml:space="preserve"> bude likvidován v souladu se zákonem č. 185/2001 Sb. O odpadech a o změně některých dalších zákonů</w:t>
      </w:r>
      <w:r w:rsidR="00274243">
        <w:t>.</w:t>
      </w:r>
    </w:p>
    <w:bookmarkEnd w:id="217"/>
    <w:p w14:paraId="1D5C6E5B" w14:textId="77777777" w:rsidR="005539C1" w:rsidRDefault="005539C1" w:rsidP="005539C1">
      <w:pPr>
        <w:pStyle w:val="STNORMLN-2"/>
      </w:pPr>
      <w:r>
        <w:t xml:space="preserve">Vybourané materiály a odpad budou na staveništi tříděny a vynášeny na transportní vozidla, nebo do ukládány do přenosných kontejnerů, umístěných na ploše staveniště pro následný odvoz. </w:t>
      </w:r>
    </w:p>
    <w:p w14:paraId="4A30CA17" w14:textId="32242330" w:rsidR="00033AC0" w:rsidRDefault="005539C1" w:rsidP="005539C1">
      <w:pPr>
        <w:pStyle w:val="STNORMLN-2"/>
      </w:pPr>
      <w:r>
        <w:t xml:space="preserve">Přednostně budou odpady druhotně </w:t>
      </w:r>
      <w:r w:rsidR="00B53E48">
        <w:t xml:space="preserve">využity </w:t>
      </w:r>
      <w:r>
        <w:t>(stavební recykláž, případně železo). Materiálové využití bude mít přednost před jejich uložením na skládku nebo jiným využitím. Vzniklý staveništní odpad bude předáván pouze osobám, které jsou dle zákona o odpadech k jejich převzetí oprávněny.</w:t>
      </w:r>
    </w:p>
    <w:p w14:paraId="16E02292" w14:textId="2590D345" w:rsidR="00033AC0" w:rsidRPr="00B83ED2" w:rsidRDefault="00033AC0" w:rsidP="00033AC0">
      <w:pPr>
        <w:pStyle w:val="STNORMLN-2"/>
        <w:rPr>
          <w:rFonts w:cs="Segoe UI"/>
          <w:i/>
          <w:sz w:val="20"/>
          <w:szCs w:val="20"/>
        </w:rPr>
      </w:pPr>
      <w:r w:rsidRPr="00B83ED2">
        <w:rPr>
          <w:rFonts w:cs="Segoe UI"/>
          <w:i/>
          <w:sz w:val="20"/>
          <w:szCs w:val="20"/>
        </w:rPr>
        <w:t xml:space="preserve">Tabulka č. </w:t>
      </w:r>
      <w:r w:rsidR="003C1F67">
        <w:rPr>
          <w:rFonts w:cs="Segoe UI"/>
          <w:i/>
          <w:sz w:val="20"/>
          <w:szCs w:val="20"/>
        </w:rPr>
        <w:t>5</w:t>
      </w:r>
      <w:r w:rsidRPr="00B83ED2">
        <w:rPr>
          <w:rFonts w:cs="Segoe UI"/>
          <w:i/>
          <w:sz w:val="20"/>
          <w:szCs w:val="20"/>
        </w:rPr>
        <w:t xml:space="preserve"> - Seznam </w:t>
      </w:r>
      <w:r>
        <w:rPr>
          <w:rFonts w:cs="Segoe UI"/>
          <w:i/>
          <w:sz w:val="20"/>
          <w:szCs w:val="20"/>
        </w:rPr>
        <w:t>odpadů</w:t>
      </w:r>
    </w:p>
    <w:tbl>
      <w:tblPr>
        <w:tblW w:w="850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8"/>
        <w:gridCol w:w="759"/>
        <w:gridCol w:w="3803"/>
        <w:gridCol w:w="2705"/>
      </w:tblGrid>
      <w:tr w:rsidR="005539C1" w:rsidRPr="005711E1" w14:paraId="59669495" w14:textId="77777777" w:rsidTr="00F44CE1">
        <w:trPr>
          <w:cantSplit/>
          <w:tblHeader/>
        </w:trPr>
        <w:tc>
          <w:tcPr>
            <w:tcW w:w="1238" w:type="dxa"/>
            <w:tcBorders>
              <w:top w:val="single" w:sz="12" w:space="0" w:color="auto"/>
              <w:left w:val="single" w:sz="12" w:space="0" w:color="auto"/>
              <w:bottom w:val="single" w:sz="12" w:space="0" w:color="auto"/>
            </w:tcBorders>
            <w:shd w:val="clear" w:color="auto" w:fill="D9D9D9"/>
            <w:vAlign w:val="center"/>
          </w:tcPr>
          <w:p w14:paraId="7156560E" w14:textId="0FABC3D8" w:rsidR="005539C1" w:rsidRPr="005711E1" w:rsidRDefault="005539C1" w:rsidP="00033AC0">
            <w:pPr>
              <w:pStyle w:val="STTABULKY"/>
            </w:pPr>
            <w:r w:rsidRPr="005711E1">
              <w:t>Kód druhu odpadu</w:t>
            </w:r>
          </w:p>
        </w:tc>
        <w:tc>
          <w:tcPr>
            <w:tcW w:w="759" w:type="dxa"/>
            <w:tcBorders>
              <w:top w:val="single" w:sz="12" w:space="0" w:color="auto"/>
              <w:bottom w:val="single" w:sz="12" w:space="0" w:color="auto"/>
            </w:tcBorders>
            <w:shd w:val="clear" w:color="auto" w:fill="D9D9D9"/>
            <w:vAlign w:val="center"/>
          </w:tcPr>
          <w:p w14:paraId="183045D5" w14:textId="77777777" w:rsidR="005539C1" w:rsidRPr="005711E1" w:rsidRDefault="005539C1" w:rsidP="00033AC0">
            <w:pPr>
              <w:pStyle w:val="STTABULKY"/>
            </w:pPr>
            <w:r w:rsidRPr="005711E1">
              <w:t>Kateg.</w:t>
            </w:r>
          </w:p>
        </w:tc>
        <w:tc>
          <w:tcPr>
            <w:tcW w:w="3803" w:type="dxa"/>
            <w:tcBorders>
              <w:top w:val="single" w:sz="12" w:space="0" w:color="auto"/>
              <w:bottom w:val="single" w:sz="12" w:space="0" w:color="auto"/>
            </w:tcBorders>
            <w:shd w:val="clear" w:color="auto" w:fill="D9D9D9"/>
            <w:vAlign w:val="center"/>
          </w:tcPr>
          <w:p w14:paraId="0EF3C1D7" w14:textId="77777777" w:rsidR="005539C1" w:rsidRPr="005711E1" w:rsidRDefault="005539C1" w:rsidP="00033AC0">
            <w:pPr>
              <w:pStyle w:val="STTABULKY"/>
            </w:pPr>
            <w:r w:rsidRPr="005711E1">
              <w:t>Název druhu odpadu</w:t>
            </w:r>
          </w:p>
        </w:tc>
        <w:tc>
          <w:tcPr>
            <w:tcW w:w="2705" w:type="dxa"/>
            <w:tcBorders>
              <w:top w:val="single" w:sz="12" w:space="0" w:color="auto"/>
              <w:bottom w:val="single" w:sz="12" w:space="0" w:color="auto"/>
              <w:right w:val="single" w:sz="12" w:space="0" w:color="auto"/>
            </w:tcBorders>
            <w:shd w:val="clear" w:color="auto" w:fill="D9D9D9"/>
            <w:vAlign w:val="center"/>
          </w:tcPr>
          <w:p w14:paraId="38601731" w14:textId="77777777" w:rsidR="005539C1" w:rsidRPr="005711E1" w:rsidRDefault="005539C1" w:rsidP="00033AC0">
            <w:pPr>
              <w:pStyle w:val="STTABULKY"/>
            </w:pPr>
            <w:r w:rsidRPr="005711E1">
              <w:t>Způsob vzniku odpadu</w:t>
            </w:r>
          </w:p>
        </w:tc>
      </w:tr>
      <w:tr w:rsidR="005539C1" w:rsidRPr="005711E1" w14:paraId="70E794A2" w14:textId="77777777" w:rsidTr="00F44CE1">
        <w:trPr>
          <w:cantSplit/>
        </w:trPr>
        <w:tc>
          <w:tcPr>
            <w:tcW w:w="1238" w:type="dxa"/>
            <w:tcBorders>
              <w:left w:val="single" w:sz="12" w:space="0" w:color="auto"/>
            </w:tcBorders>
            <w:vAlign w:val="center"/>
          </w:tcPr>
          <w:p w14:paraId="4F5EF38A" w14:textId="77777777" w:rsidR="005539C1" w:rsidRPr="005711E1" w:rsidRDefault="005539C1" w:rsidP="00033AC0">
            <w:pPr>
              <w:pStyle w:val="STTABULKY"/>
            </w:pPr>
            <w:r w:rsidRPr="005711E1">
              <w:t>08 01, 08 02</w:t>
            </w:r>
          </w:p>
        </w:tc>
        <w:tc>
          <w:tcPr>
            <w:tcW w:w="759" w:type="dxa"/>
            <w:vAlign w:val="center"/>
          </w:tcPr>
          <w:p w14:paraId="08B1E60E" w14:textId="77777777" w:rsidR="005539C1" w:rsidRPr="005711E1" w:rsidRDefault="005539C1" w:rsidP="00033AC0">
            <w:pPr>
              <w:pStyle w:val="STTABULKY"/>
            </w:pPr>
            <w:r w:rsidRPr="005711E1">
              <w:t>O, N</w:t>
            </w:r>
          </w:p>
        </w:tc>
        <w:tc>
          <w:tcPr>
            <w:tcW w:w="3803" w:type="dxa"/>
            <w:vAlign w:val="center"/>
          </w:tcPr>
          <w:p w14:paraId="2BD3504C" w14:textId="4B84FBE7" w:rsidR="005539C1" w:rsidRPr="005711E1" w:rsidRDefault="00B53E48" w:rsidP="00033AC0">
            <w:pPr>
              <w:pStyle w:val="STTABULKY"/>
            </w:pPr>
            <w:r>
              <w:t>o</w:t>
            </w:r>
            <w:r w:rsidRPr="005711E1">
              <w:t xml:space="preserve">dpady </w:t>
            </w:r>
            <w:r w:rsidR="005539C1" w:rsidRPr="005711E1">
              <w:t>z výroby a použití nátěrových hmot, ostatních nátěr. hmot</w:t>
            </w:r>
          </w:p>
        </w:tc>
        <w:tc>
          <w:tcPr>
            <w:tcW w:w="2705" w:type="dxa"/>
            <w:tcBorders>
              <w:right w:val="single" w:sz="12" w:space="0" w:color="auto"/>
            </w:tcBorders>
            <w:vAlign w:val="center"/>
          </w:tcPr>
          <w:p w14:paraId="64BC49B3" w14:textId="77777777" w:rsidR="005539C1" w:rsidRPr="005711E1" w:rsidRDefault="005539C1" w:rsidP="00033AC0">
            <w:pPr>
              <w:pStyle w:val="STTABULKY"/>
            </w:pPr>
            <w:r w:rsidRPr="005711E1">
              <w:t>plechovky od barev a nátěrů</w:t>
            </w:r>
          </w:p>
          <w:p w14:paraId="26644CEB" w14:textId="77777777" w:rsidR="005539C1" w:rsidRPr="005711E1" w:rsidRDefault="005539C1" w:rsidP="00033AC0">
            <w:pPr>
              <w:pStyle w:val="STTABULKY"/>
            </w:pPr>
            <w:r w:rsidRPr="005711E1">
              <w:t>(konkrétní zatřídění provede dodavatel)</w:t>
            </w:r>
          </w:p>
        </w:tc>
      </w:tr>
      <w:tr w:rsidR="005539C1" w:rsidRPr="005711E1" w14:paraId="299848FB" w14:textId="77777777" w:rsidTr="00F44CE1">
        <w:trPr>
          <w:cantSplit/>
        </w:trPr>
        <w:tc>
          <w:tcPr>
            <w:tcW w:w="1238" w:type="dxa"/>
            <w:tcBorders>
              <w:left w:val="single" w:sz="12" w:space="0" w:color="auto"/>
            </w:tcBorders>
            <w:vAlign w:val="center"/>
          </w:tcPr>
          <w:p w14:paraId="7F3DECB4" w14:textId="77777777" w:rsidR="005539C1" w:rsidRPr="005711E1" w:rsidRDefault="005539C1" w:rsidP="00033AC0">
            <w:pPr>
              <w:pStyle w:val="STTABULKY"/>
            </w:pPr>
            <w:r w:rsidRPr="005711E1">
              <w:t>17 02 01</w:t>
            </w:r>
          </w:p>
        </w:tc>
        <w:tc>
          <w:tcPr>
            <w:tcW w:w="759" w:type="dxa"/>
            <w:vAlign w:val="center"/>
          </w:tcPr>
          <w:p w14:paraId="05AEBE4A" w14:textId="77777777" w:rsidR="005539C1" w:rsidRPr="005711E1" w:rsidRDefault="005539C1" w:rsidP="00033AC0">
            <w:pPr>
              <w:pStyle w:val="STTABULKY"/>
            </w:pPr>
            <w:r w:rsidRPr="005711E1">
              <w:t>O</w:t>
            </w:r>
          </w:p>
        </w:tc>
        <w:tc>
          <w:tcPr>
            <w:tcW w:w="3803" w:type="dxa"/>
            <w:vAlign w:val="center"/>
          </w:tcPr>
          <w:p w14:paraId="1BC6CAF7" w14:textId="77777777" w:rsidR="005539C1" w:rsidRPr="005711E1" w:rsidRDefault="005539C1" w:rsidP="00033AC0">
            <w:pPr>
              <w:pStyle w:val="STTABULKY"/>
            </w:pPr>
            <w:r w:rsidRPr="005711E1">
              <w:t>dřevo</w:t>
            </w:r>
          </w:p>
        </w:tc>
        <w:tc>
          <w:tcPr>
            <w:tcW w:w="2705" w:type="dxa"/>
            <w:tcBorders>
              <w:right w:val="single" w:sz="12" w:space="0" w:color="auto"/>
            </w:tcBorders>
            <w:vAlign w:val="center"/>
          </w:tcPr>
          <w:p w14:paraId="34653468" w14:textId="47C09CDE" w:rsidR="005539C1" w:rsidRPr="005711E1" w:rsidRDefault="005539C1" w:rsidP="00033AC0">
            <w:pPr>
              <w:pStyle w:val="STTABULKY"/>
            </w:pPr>
            <w:r w:rsidRPr="005711E1">
              <w:t>pažení</w:t>
            </w:r>
            <w:r>
              <w:t>, dočasné podpůrné a pomocné konstrukce, podhled</w:t>
            </w:r>
          </w:p>
        </w:tc>
      </w:tr>
      <w:tr w:rsidR="005539C1" w:rsidRPr="005711E1" w14:paraId="4923067D" w14:textId="77777777" w:rsidTr="00F44CE1">
        <w:trPr>
          <w:cantSplit/>
          <w:trHeight w:val="460"/>
        </w:trPr>
        <w:tc>
          <w:tcPr>
            <w:tcW w:w="1238" w:type="dxa"/>
            <w:tcBorders>
              <w:left w:val="single" w:sz="12" w:space="0" w:color="auto"/>
            </w:tcBorders>
            <w:vAlign w:val="center"/>
          </w:tcPr>
          <w:p w14:paraId="52349ECC" w14:textId="77777777" w:rsidR="005539C1" w:rsidRDefault="005539C1" w:rsidP="00033AC0">
            <w:pPr>
              <w:pStyle w:val="STTABULKY"/>
            </w:pPr>
            <w:r>
              <w:t>17.02.02</w:t>
            </w:r>
          </w:p>
        </w:tc>
        <w:tc>
          <w:tcPr>
            <w:tcW w:w="759" w:type="dxa"/>
            <w:vAlign w:val="center"/>
          </w:tcPr>
          <w:p w14:paraId="47BCDB3D" w14:textId="77777777" w:rsidR="005539C1" w:rsidRDefault="005539C1" w:rsidP="00033AC0">
            <w:pPr>
              <w:pStyle w:val="STTABULKY"/>
            </w:pPr>
            <w:r>
              <w:t>O</w:t>
            </w:r>
          </w:p>
        </w:tc>
        <w:tc>
          <w:tcPr>
            <w:tcW w:w="3803" w:type="dxa"/>
            <w:vAlign w:val="center"/>
          </w:tcPr>
          <w:p w14:paraId="333398EA" w14:textId="77777777" w:rsidR="005539C1" w:rsidRDefault="005539C1" w:rsidP="00033AC0">
            <w:pPr>
              <w:pStyle w:val="STTABULKY"/>
            </w:pPr>
            <w:r>
              <w:t>sklo</w:t>
            </w:r>
          </w:p>
        </w:tc>
        <w:tc>
          <w:tcPr>
            <w:tcW w:w="2705" w:type="dxa"/>
            <w:tcBorders>
              <w:right w:val="single" w:sz="12" w:space="0" w:color="auto"/>
            </w:tcBorders>
            <w:vAlign w:val="center"/>
          </w:tcPr>
          <w:p w14:paraId="5D7E161C" w14:textId="434EC338" w:rsidR="005539C1" w:rsidRDefault="00B53E48" w:rsidP="00033AC0">
            <w:pPr>
              <w:pStyle w:val="STTABULKY"/>
            </w:pPr>
            <w:r>
              <w:t xml:space="preserve">při </w:t>
            </w:r>
            <w:r w:rsidR="00033AC0">
              <w:t>bourání výplní otvorů</w:t>
            </w:r>
          </w:p>
        </w:tc>
      </w:tr>
      <w:tr w:rsidR="005539C1" w:rsidRPr="005711E1" w14:paraId="146A252F" w14:textId="77777777" w:rsidTr="00F44CE1">
        <w:trPr>
          <w:cantSplit/>
          <w:trHeight w:val="460"/>
        </w:trPr>
        <w:tc>
          <w:tcPr>
            <w:tcW w:w="1238" w:type="dxa"/>
            <w:tcBorders>
              <w:left w:val="single" w:sz="12" w:space="0" w:color="auto"/>
            </w:tcBorders>
            <w:vAlign w:val="center"/>
          </w:tcPr>
          <w:p w14:paraId="5FBCCCD7" w14:textId="77777777" w:rsidR="005539C1" w:rsidRPr="005711E1" w:rsidRDefault="005539C1" w:rsidP="00033AC0">
            <w:pPr>
              <w:pStyle w:val="STTABULKY"/>
            </w:pPr>
            <w:r>
              <w:t>03 01 04</w:t>
            </w:r>
          </w:p>
        </w:tc>
        <w:tc>
          <w:tcPr>
            <w:tcW w:w="759" w:type="dxa"/>
            <w:vAlign w:val="center"/>
          </w:tcPr>
          <w:p w14:paraId="690B2F5E" w14:textId="77777777" w:rsidR="005539C1" w:rsidRPr="005711E1" w:rsidRDefault="005539C1" w:rsidP="00033AC0">
            <w:pPr>
              <w:pStyle w:val="STTABULKY"/>
            </w:pPr>
            <w:r>
              <w:t>N</w:t>
            </w:r>
          </w:p>
        </w:tc>
        <w:tc>
          <w:tcPr>
            <w:tcW w:w="3803" w:type="dxa"/>
            <w:vAlign w:val="center"/>
          </w:tcPr>
          <w:p w14:paraId="6D250C20" w14:textId="77777777" w:rsidR="005539C1" w:rsidRPr="005711E1" w:rsidRDefault="005539C1" w:rsidP="00033AC0">
            <w:pPr>
              <w:pStyle w:val="STTABULKY"/>
            </w:pPr>
            <w:r>
              <w:t xml:space="preserve">odpady při výrobě a úpravě dřevotřískových desek nábytku </w:t>
            </w:r>
          </w:p>
        </w:tc>
        <w:tc>
          <w:tcPr>
            <w:tcW w:w="2705" w:type="dxa"/>
            <w:tcBorders>
              <w:right w:val="single" w:sz="12" w:space="0" w:color="auto"/>
            </w:tcBorders>
            <w:vAlign w:val="center"/>
          </w:tcPr>
          <w:p w14:paraId="414F25CE" w14:textId="77777777" w:rsidR="005539C1" w:rsidRPr="005711E1" w:rsidRDefault="005539C1" w:rsidP="00033AC0">
            <w:pPr>
              <w:pStyle w:val="STTABULKY"/>
            </w:pPr>
            <w:r>
              <w:t xml:space="preserve">úprava tvarů dovezených komponent na místě </w:t>
            </w:r>
          </w:p>
        </w:tc>
      </w:tr>
      <w:tr w:rsidR="005539C1" w:rsidRPr="005711E1" w14:paraId="02DDE7C8" w14:textId="77777777" w:rsidTr="00F44CE1">
        <w:trPr>
          <w:cantSplit/>
          <w:trHeight w:val="460"/>
        </w:trPr>
        <w:tc>
          <w:tcPr>
            <w:tcW w:w="1238" w:type="dxa"/>
            <w:tcBorders>
              <w:left w:val="single" w:sz="12" w:space="0" w:color="auto"/>
            </w:tcBorders>
            <w:vAlign w:val="center"/>
          </w:tcPr>
          <w:p w14:paraId="47212B47" w14:textId="77777777" w:rsidR="005539C1" w:rsidRPr="005711E1" w:rsidRDefault="005539C1" w:rsidP="00033AC0">
            <w:pPr>
              <w:pStyle w:val="STTABULKY"/>
            </w:pPr>
            <w:r>
              <w:t>08 01 11</w:t>
            </w:r>
          </w:p>
        </w:tc>
        <w:tc>
          <w:tcPr>
            <w:tcW w:w="759" w:type="dxa"/>
            <w:vAlign w:val="center"/>
          </w:tcPr>
          <w:p w14:paraId="5E862D44" w14:textId="77777777" w:rsidR="005539C1" w:rsidRPr="005711E1" w:rsidRDefault="005539C1" w:rsidP="00033AC0">
            <w:pPr>
              <w:pStyle w:val="STTABULKY"/>
            </w:pPr>
          </w:p>
        </w:tc>
        <w:tc>
          <w:tcPr>
            <w:tcW w:w="3803" w:type="dxa"/>
            <w:vAlign w:val="center"/>
          </w:tcPr>
          <w:p w14:paraId="5C8367D0" w14:textId="3FA41BA0" w:rsidR="005539C1" w:rsidRPr="005711E1" w:rsidRDefault="00B53E48" w:rsidP="00033AC0">
            <w:pPr>
              <w:pStyle w:val="STTABULKY"/>
            </w:pPr>
            <w:r>
              <w:rPr>
                <w:shd w:val="clear" w:color="auto" w:fill="FFFFFF"/>
              </w:rPr>
              <w:t xml:space="preserve">odpadní </w:t>
            </w:r>
            <w:r w:rsidR="005539C1">
              <w:rPr>
                <w:shd w:val="clear" w:color="auto" w:fill="FFFFFF"/>
              </w:rPr>
              <w:t>barvy a laky obsahující organická rozpouštědla nebo jiné nebezpečné látky</w:t>
            </w:r>
          </w:p>
        </w:tc>
        <w:tc>
          <w:tcPr>
            <w:tcW w:w="2705" w:type="dxa"/>
            <w:tcBorders>
              <w:right w:val="single" w:sz="12" w:space="0" w:color="auto"/>
            </w:tcBorders>
            <w:vAlign w:val="center"/>
          </w:tcPr>
          <w:p w14:paraId="383275CC" w14:textId="77777777" w:rsidR="005539C1" w:rsidRPr="005711E1" w:rsidRDefault="005539C1" w:rsidP="00033AC0">
            <w:pPr>
              <w:pStyle w:val="STTABULKY"/>
            </w:pPr>
            <w:r>
              <w:t>konečné úpravy povrchů vybraných konstrukcí</w:t>
            </w:r>
          </w:p>
        </w:tc>
      </w:tr>
      <w:tr w:rsidR="005539C1" w:rsidRPr="005711E1" w14:paraId="79DDB9DB" w14:textId="77777777" w:rsidTr="00F44CE1">
        <w:trPr>
          <w:cantSplit/>
          <w:trHeight w:val="460"/>
        </w:trPr>
        <w:tc>
          <w:tcPr>
            <w:tcW w:w="1238" w:type="dxa"/>
            <w:tcBorders>
              <w:left w:val="single" w:sz="12" w:space="0" w:color="auto"/>
            </w:tcBorders>
            <w:vAlign w:val="center"/>
          </w:tcPr>
          <w:p w14:paraId="1611A0E0" w14:textId="77777777" w:rsidR="005539C1" w:rsidRPr="005711E1" w:rsidRDefault="005539C1" w:rsidP="00033AC0">
            <w:pPr>
              <w:pStyle w:val="STTABULKY"/>
            </w:pPr>
            <w:r>
              <w:t>08 01 12</w:t>
            </w:r>
          </w:p>
        </w:tc>
        <w:tc>
          <w:tcPr>
            <w:tcW w:w="759" w:type="dxa"/>
            <w:vAlign w:val="center"/>
          </w:tcPr>
          <w:p w14:paraId="3D557437" w14:textId="77777777" w:rsidR="005539C1" w:rsidRPr="005711E1" w:rsidRDefault="005539C1" w:rsidP="00033AC0">
            <w:pPr>
              <w:pStyle w:val="STTABULKY"/>
            </w:pPr>
          </w:p>
        </w:tc>
        <w:tc>
          <w:tcPr>
            <w:tcW w:w="3803" w:type="dxa"/>
            <w:vAlign w:val="center"/>
          </w:tcPr>
          <w:p w14:paraId="12582D5D" w14:textId="77777777" w:rsidR="005539C1" w:rsidRPr="005711E1" w:rsidRDefault="005539C1" w:rsidP="00033AC0">
            <w:pPr>
              <w:pStyle w:val="STTABULKY"/>
            </w:pPr>
            <w:r>
              <w:rPr>
                <w:shd w:val="clear" w:color="auto" w:fill="FFFFFF"/>
              </w:rPr>
              <w:t>jiné odpadní barvy a laky neuvedené pod číslem 08 01 11</w:t>
            </w:r>
          </w:p>
        </w:tc>
        <w:tc>
          <w:tcPr>
            <w:tcW w:w="2705" w:type="dxa"/>
            <w:tcBorders>
              <w:right w:val="single" w:sz="12" w:space="0" w:color="auto"/>
            </w:tcBorders>
            <w:vAlign w:val="center"/>
          </w:tcPr>
          <w:p w14:paraId="5BD0F1EB" w14:textId="77777777" w:rsidR="005539C1" w:rsidRPr="005711E1" w:rsidRDefault="005539C1" w:rsidP="00033AC0">
            <w:pPr>
              <w:pStyle w:val="STTABULKY"/>
            </w:pPr>
            <w:r>
              <w:t>konečné úpravy povrchů vybraných konstrukcí</w:t>
            </w:r>
          </w:p>
        </w:tc>
      </w:tr>
      <w:tr w:rsidR="005539C1" w:rsidRPr="005711E1" w14:paraId="0D1DD5AE" w14:textId="77777777" w:rsidTr="00F44CE1">
        <w:trPr>
          <w:cantSplit/>
          <w:trHeight w:val="460"/>
        </w:trPr>
        <w:tc>
          <w:tcPr>
            <w:tcW w:w="1238" w:type="dxa"/>
            <w:tcBorders>
              <w:left w:val="single" w:sz="12" w:space="0" w:color="auto"/>
            </w:tcBorders>
            <w:vAlign w:val="center"/>
          </w:tcPr>
          <w:p w14:paraId="4A2FFF91" w14:textId="77777777" w:rsidR="005539C1" w:rsidRPr="005711E1" w:rsidRDefault="005539C1" w:rsidP="00033AC0">
            <w:pPr>
              <w:pStyle w:val="STTABULKY"/>
            </w:pPr>
            <w:r>
              <w:t xml:space="preserve">15 01 01 </w:t>
            </w:r>
          </w:p>
        </w:tc>
        <w:tc>
          <w:tcPr>
            <w:tcW w:w="759" w:type="dxa"/>
            <w:vAlign w:val="center"/>
          </w:tcPr>
          <w:p w14:paraId="2E6C4501" w14:textId="77777777" w:rsidR="005539C1" w:rsidRPr="005711E1" w:rsidRDefault="005539C1" w:rsidP="00033AC0">
            <w:pPr>
              <w:pStyle w:val="STTABULKY"/>
            </w:pPr>
          </w:p>
        </w:tc>
        <w:tc>
          <w:tcPr>
            <w:tcW w:w="3803" w:type="dxa"/>
            <w:vAlign w:val="center"/>
          </w:tcPr>
          <w:p w14:paraId="0A9FFD5A" w14:textId="77777777" w:rsidR="005539C1" w:rsidRPr="005711E1" w:rsidRDefault="005539C1" w:rsidP="00033AC0">
            <w:pPr>
              <w:pStyle w:val="STTABULKY"/>
            </w:pPr>
            <w:r>
              <w:t>papírové a lepenkové obaly</w:t>
            </w:r>
          </w:p>
        </w:tc>
        <w:tc>
          <w:tcPr>
            <w:tcW w:w="2705" w:type="dxa"/>
            <w:tcBorders>
              <w:right w:val="single" w:sz="12" w:space="0" w:color="auto"/>
            </w:tcBorders>
            <w:vAlign w:val="center"/>
          </w:tcPr>
          <w:p w14:paraId="36C70BD6" w14:textId="77777777" w:rsidR="005539C1" w:rsidRPr="005711E1" w:rsidRDefault="005539C1" w:rsidP="00033AC0">
            <w:pPr>
              <w:pStyle w:val="STTABULKY"/>
            </w:pPr>
          </w:p>
        </w:tc>
      </w:tr>
      <w:tr w:rsidR="005539C1" w:rsidRPr="005711E1" w14:paraId="592981EB" w14:textId="77777777" w:rsidTr="00F44CE1">
        <w:trPr>
          <w:cantSplit/>
          <w:trHeight w:val="460"/>
        </w:trPr>
        <w:tc>
          <w:tcPr>
            <w:tcW w:w="1238" w:type="dxa"/>
            <w:tcBorders>
              <w:left w:val="single" w:sz="12" w:space="0" w:color="auto"/>
            </w:tcBorders>
            <w:vAlign w:val="center"/>
          </w:tcPr>
          <w:p w14:paraId="4C9B2BE2" w14:textId="77777777" w:rsidR="005539C1" w:rsidRPr="005711E1" w:rsidRDefault="005539C1" w:rsidP="00033AC0">
            <w:pPr>
              <w:pStyle w:val="STTABULKY"/>
            </w:pPr>
            <w:r>
              <w:t>15 01 02</w:t>
            </w:r>
          </w:p>
        </w:tc>
        <w:tc>
          <w:tcPr>
            <w:tcW w:w="759" w:type="dxa"/>
            <w:vAlign w:val="center"/>
          </w:tcPr>
          <w:p w14:paraId="77EF555D" w14:textId="77777777" w:rsidR="005539C1" w:rsidRPr="005711E1" w:rsidRDefault="005539C1" w:rsidP="00033AC0">
            <w:pPr>
              <w:pStyle w:val="STTABULKY"/>
            </w:pPr>
          </w:p>
        </w:tc>
        <w:tc>
          <w:tcPr>
            <w:tcW w:w="3803" w:type="dxa"/>
            <w:vAlign w:val="center"/>
          </w:tcPr>
          <w:p w14:paraId="33AACFF1" w14:textId="77777777" w:rsidR="005539C1" w:rsidRPr="005711E1" w:rsidRDefault="005539C1" w:rsidP="00033AC0">
            <w:pPr>
              <w:pStyle w:val="STTABULKY"/>
            </w:pPr>
            <w:r>
              <w:t>plastové obaly</w:t>
            </w:r>
          </w:p>
        </w:tc>
        <w:tc>
          <w:tcPr>
            <w:tcW w:w="2705" w:type="dxa"/>
            <w:tcBorders>
              <w:right w:val="single" w:sz="12" w:space="0" w:color="auto"/>
            </w:tcBorders>
            <w:vAlign w:val="center"/>
          </w:tcPr>
          <w:p w14:paraId="3AF80D78" w14:textId="77777777" w:rsidR="005539C1" w:rsidRPr="005711E1" w:rsidRDefault="005539C1" w:rsidP="00033AC0">
            <w:pPr>
              <w:pStyle w:val="STTABULKY"/>
            </w:pPr>
          </w:p>
        </w:tc>
      </w:tr>
      <w:tr w:rsidR="005539C1" w:rsidRPr="005711E1" w14:paraId="312AB064" w14:textId="77777777" w:rsidTr="00F44CE1">
        <w:trPr>
          <w:cantSplit/>
          <w:trHeight w:val="460"/>
        </w:trPr>
        <w:tc>
          <w:tcPr>
            <w:tcW w:w="1238" w:type="dxa"/>
            <w:tcBorders>
              <w:left w:val="single" w:sz="12" w:space="0" w:color="auto"/>
            </w:tcBorders>
            <w:vAlign w:val="center"/>
          </w:tcPr>
          <w:p w14:paraId="2869FF98" w14:textId="77777777" w:rsidR="005539C1" w:rsidRPr="005711E1" w:rsidRDefault="005539C1" w:rsidP="00033AC0">
            <w:pPr>
              <w:pStyle w:val="STTABULKY"/>
            </w:pPr>
            <w:r>
              <w:t xml:space="preserve">15 01 03 </w:t>
            </w:r>
          </w:p>
        </w:tc>
        <w:tc>
          <w:tcPr>
            <w:tcW w:w="759" w:type="dxa"/>
            <w:vAlign w:val="center"/>
          </w:tcPr>
          <w:p w14:paraId="057F414A" w14:textId="77777777" w:rsidR="005539C1" w:rsidRPr="005711E1" w:rsidRDefault="005539C1" w:rsidP="00033AC0">
            <w:pPr>
              <w:pStyle w:val="STTABULKY"/>
            </w:pPr>
          </w:p>
        </w:tc>
        <w:tc>
          <w:tcPr>
            <w:tcW w:w="3803" w:type="dxa"/>
            <w:vAlign w:val="center"/>
          </w:tcPr>
          <w:p w14:paraId="7DF869E7" w14:textId="77777777" w:rsidR="005539C1" w:rsidRPr="005711E1" w:rsidRDefault="005539C1" w:rsidP="00033AC0">
            <w:pPr>
              <w:pStyle w:val="STTABULKY"/>
            </w:pPr>
            <w:r>
              <w:t>dřevěné obaly</w:t>
            </w:r>
          </w:p>
        </w:tc>
        <w:tc>
          <w:tcPr>
            <w:tcW w:w="2705" w:type="dxa"/>
            <w:tcBorders>
              <w:right w:val="single" w:sz="12" w:space="0" w:color="auto"/>
            </w:tcBorders>
            <w:vAlign w:val="center"/>
          </w:tcPr>
          <w:p w14:paraId="3E03C1B2" w14:textId="77777777" w:rsidR="005539C1" w:rsidRPr="005711E1" w:rsidRDefault="005539C1" w:rsidP="00033AC0">
            <w:pPr>
              <w:pStyle w:val="STTABULKY"/>
            </w:pPr>
          </w:p>
        </w:tc>
      </w:tr>
      <w:tr w:rsidR="005539C1" w:rsidRPr="005711E1" w14:paraId="394B0357" w14:textId="77777777" w:rsidTr="00F44CE1">
        <w:trPr>
          <w:cantSplit/>
          <w:trHeight w:val="460"/>
        </w:trPr>
        <w:tc>
          <w:tcPr>
            <w:tcW w:w="1238" w:type="dxa"/>
            <w:vMerge w:val="restart"/>
            <w:tcBorders>
              <w:left w:val="single" w:sz="12" w:space="0" w:color="auto"/>
            </w:tcBorders>
            <w:vAlign w:val="center"/>
          </w:tcPr>
          <w:p w14:paraId="4DBDC74A" w14:textId="77777777" w:rsidR="005539C1" w:rsidRPr="005711E1" w:rsidRDefault="005539C1" w:rsidP="00033AC0">
            <w:pPr>
              <w:pStyle w:val="STTABULKY"/>
            </w:pPr>
            <w:r w:rsidRPr="005711E1">
              <w:t>17 02 03</w:t>
            </w:r>
          </w:p>
        </w:tc>
        <w:tc>
          <w:tcPr>
            <w:tcW w:w="759" w:type="dxa"/>
            <w:vMerge w:val="restart"/>
            <w:vAlign w:val="center"/>
          </w:tcPr>
          <w:p w14:paraId="04934F5B" w14:textId="77777777" w:rsidR="005539C1" w:rsidRPr="005711E1" w:rsidRDefault="005539C1" w:rsidP="00033AC0">
            <w:pPr>
              <w:pStyle w:val="STTABULKY"/>
            </w:pPr>
            <w:r w:rsidRPr="005711E1">
              <w:t>O</w:t>
            </w:r>
          </w:p>
        </w:tc>
        <w:tc>
          <w:tcPr>
            <w:tcW w:w="3803" w:type="dxa"/>
            <w:vMerge w:val="restart"/>
            <w:vAlign w:val="center"/>
          </w:tcPr>
          <w:p w14:paraId="225817FF" w14:textId="77777777" w:rsidR="005539C1" w:rsidRPr="005711E1" w:rsidRDefault="005539C1" w:rsidP="00033AC0">
            <w:pPr>
              <w:pStyle w:val="STTABULKY"/>
            </w:pPr>
            <w:r w:rsidRPr="005711E1">
              <w:t>plasty</w:t>
            </w:r>
          </w:p>
        </w:tc>
        <w:tc>
          <w:tcPr>
            <w:tcW w:w="2705" w:type="dxa"/>
            <w:tcBorders>
              <w:right w:val="single" w:sz="12" w:space="0" w:color="auto"/>
            </w:tcBorders>
            <w:vAlign w:val="center"/>
          </w:tcPr>
          <w:p w14:paraId="289D657C" w14:textId="77777777" w:rsidR="005539C1" w:rsidRPr="005711E1" w:rsidRDefault="005539C1" w:rsidP="00033AC0">
            <w:pPr>
              <w:pStyle w:val="STTABULKY"/>
            </w:pPr>
            <w:r w:rsidRPr="005711E1">
              <w:t>PVC podlahy, fólie PE</w:t>
            </w:r>
          </w:p>
        </w:tc>
      </w:tr>
      <w:tr w:rsidR="005539C1" w:rsidRPr="005711E1" w14:paraId="226B9ACE" w14:textId="77777777" w:rsidTr="00F44CE1">
        <w:trPr>
          <w:cantSplit/>
          <w:trHeight w:val="460"/>
        </w:trPr>
        <w:tc>
          <w:tcPr>
            <w:tcW w:w="1238" w:type="dxa"/>
            <w:vMerge/>
            <w:tcBorders>
              <w:left w:val="single" w:sz="12" w:space="0" w:color="auto"/>
            </w:tcBorders>
            <w:vAlign w:val="center"/>
          </w:tcPr>
          <w:p w14:paraId="0DCBEA6A" w14:textId="77777777" w:rsidR="005539C1" w:rsidRPr="005711E1" w:rsidRDefault="005539C1" w:rsidP="00033AC0">
            <w:pPr>
              <w:pStyle w:val="STTABULKY"/>
            </w:pPr>
          </w:p>
        </w:tc>
        <w:tc>
          <w:tcPr>
            <w:tcW w:w="759" w:type="dxa"/>
            <w:vMerge/>
            <w:vAlign w:val="center"/>
          </w:tcPr>
          <w:p w14:paraId="62EC94C3" w14:textId="77777777" w:rsidR="005539C1" w:rsidRPr="005711E1" w:rsidRDefault="005539C1" w:rsidP="00033AC0">
            <w:pPr>
              <w:pStyle w:val="STTABULKY"/>
            </w:pPr>
          </w:p>
        </w:tc>
        <w:tc>
          <w:tcPr>
            <w:tcW w:w="3803" w:type="dxa"/>
            <w:vMerge/>
            <w:vAlign w:val="center"/>
          </w:tcPr>
          <w:p w14:paraId="2913D5C8" w14:textId="77777777" w:rsidR="005539C1" w:rsidRPr="005711E1" w:rsidRDefault="005539C1" w:rsidP="00033AC0">
            <w:pPr>
              <w:pStyle w:val="STTABULKY"/>
            </w:pPr>
          </w:p>
        </w:tc>
        <w:tc>
          <w:tcPr>
            <w:tcW w:w="2705" w:type="dxa"/>
            <w:tcBorders>
              <w:right w:val="single" w:sz="12" w:space="0" w:color="auto"/>
            </w:tcBorders>
            <w:vAlign w:val="center"/>
          </w:tcPr>
          <w:p w14:paraId="78FD246E" w14:textId="15C4B2A0" w:rsidR="005539C1" w:rsidRPr="005711E1" w:rsidRDefault="00B53E48" w:rsidP="00033AC0">
            <w:pPr>
              <w:pStyle w:val="STTABULKY"/>
            </w:pPr>
            <w:r>
              <w:t>p</w:t>
            </w:r>
            <w:r w:rsidRPr="005711E1">
              <w:t xml:space="preserve">otrubí </w:t>
            </w:r>
            <w:r w:rsidR="005539C1" w:rsidRPr="005711E1">
              <w:t>z PE a PVC (kanalizace, vodovod, plynovod) – prořezy</w:t>
            </w:r>
          </w:p>
        </w:tc>
      </w:tr>
      <w:tr w:rsidR="005539C1" w:rsidRPr="005711E1" w14:paraId="0EB537F9" w14:textId="77777777" w:rsidTr="00F44CE1">
        <w:trPr>
          <w:cantSplit/>
        </w:trPr>
        <w:tc>
          <w:tcPr>
            <w:tcW w:w="1238" w:type="dxa"/>
            <w:tcBorders>
              <w:left w:val="single" w:sz="12" w:space="0" w:color="auto"/>
            </w:tcBorders>
            <w:vAlign w:val="center"/>
          </w:tcPr>
          <w:p w14:paraId="151E9AA5" w14:textId="77777777" w:rsidR="005539C1" w:rsidRPr="005711E1" w:rsidRDefault="005539C1" w:rsidP="00033AC0">
            <w:pPr>
              <w:pStyle w:val="STTABULKY"/>
            </w:pPr>
            <w:r>
              <w:t>17 04 01</w:t>
            </w:r>
          </w:p>
        </w:tc>
        <w:tc>
          <w:tcPr>
            <w:tcW w:w="759" w:type="dxa"/>
            <w:vAlign w:val="center"/>
          </w:tcPr>
          <w:p w14:paraId="521F5C32" w14:textId="77777777" w:rsidR="005539C1" w:rsidRPr="005711E1" w:rsidRDefault="005539C1" w:rsidP="00033AC0">
            <w:pPr>
              <w:pStyle w:val="STTABULKY"/>
            </w:pPr>
          </w:p>
        </w:tc>
        <w:tc>
          <w:tcPr>
            <w:tcW w:w="3803" w:type="dxa"/>
            <w:vAlign w:val="center"/>
          </w:tcPr>
          <w:p w14:paraId="1820C31B" w14:textId="4D70C849" w:rsidR="005539C1" w:rsidRPr="005711E1" w:rsidRDefault="005539C1" w:rsidP="00033AC0">
            <w:pPr>
              <w:pStyle w:val="STTABULKY"/>
            </w:pPr>
            <w:r>
              <w:t>barevné kovy (měď</w:t>
            </w:r>
            <w:r w:rsidR="00B53E48">
              <w:t>,</w:t>
            </w:r>
            <w:r>
              <w:t xml:space="preserve"> bronz, mosaz)</w:t>
            </w:r>
          </w:p>
        </w:tc>
        <w:tc>
          <w:tcPr>
            <w:tcW w:w="2705" w:type="dxa"/>
            <w:tcBorders>
              <w:right w:val="single" w:sz="12" w:space="0" w:color="auto"/>
            </w:tcBorders>
            <w:vAlign w:val="center"/>
          </w:tcPr>
          <w:p w14:paraId="3BE9AD96" w14:textId="77777777" w:rsidR="005539C1" w:rsidRPr="005711E1" w:rsidRDefault="005539C1" w:rsidP="00033AC0">
            <w:pPr>
              <w:pStyle w:val="STTABULKY"/>
            </w:pPr>
            <w:r>
              <w:t>zbytky po montáži zařízení</w:t>
            </w:r>
          </w:p>
        </w:tc>
      </w:tr>
      <w:tr w:rsidR="005539C1" w:rsidRPr="005711E1" w14:paraId="15E0756A" w14:textId="77777777" w:rsidTr="00F44CE1">
        <w:trPr>
          <w:cantSplit/>
        </w:trPr>
        <w:tc>
          <w:tcPr>
            <w:tcW w:w="1238" w:type="dxa"/>
            <w:tcBorders>
              <w:left w:val="single" w:sz="12" w:space="0" w:color="auto"/>
            </w:tcBorders>
            <w:vAlign w:val="center"/>
          </w:tcPr>
          <w:p w14:paraId="5931152F" w14:textId="77777777" w:rsidR="005539C1" w:rsidRPr="005711E1" w:rsidRDefault="005539C1" w:rsidP="00033AC0">
            <w:pPr>
              <w:pStyle w:val="STTABULKY"/>
            </w:pPr>
            <w:r>
              <w:t>17 04 02</w:t>
            </w:r>
          </w:p>
        </w:tc>
        <w:tc>
          <w:tcPr>
            <w:tcW w:w="759" w:type="dxa"/>
            <w:vAlign w:val="center"/>
          </w:tcPr>
          <w:p w14:paraId="4B06A216" w14:textId="77777777" w:rsidR="005539C1" w:rsidRPr="005711E1" w:rsidRDefault="005539C1" w:rsidP="00033AC0">
            <w:pPr>
              <w:pStyle w:val="STTABULKY"/>
            </w:pPr>
          </w:p>
        </w:tc>
        <w:tc>
          <w:tcPr>
            <w:tcW w:w="3803" w:type="dxa"/>
            <w:vAlign w:val="center"/>
          </w:tcPr>
          <w:p w14:paraId="5885030D" w14:textId="77777777" w:rsidR="005539C1" w:rsidRPr="005711E1" w:rsidRDefault="005539C1" w:rsidP="00033AC0">
            <w:pPr>
              <w:pStyle w:val="STTABULKY"/>
            </w:pPr>
            <w:r>
              <w:t>hliník</w:t>
            </w:r>
          </w:p>
        </w:tc>
        <w:tc>
          <w:tcPr>
            <w:tcW w:w="2705" w:type="dxa"/>
            <w:tcBorders>
              <w:right w:val="single" w:sz="12" w:space="0" w:color="auto"/>
            </w:tcBorders>
            <w:vAlign w:val="center"/>
          </w:tcPr>
          <w:p w14:paraId="01D2FA7E" w14:textId="77777777" w:rsidR="005539C1" w:rsidRPr="005711E1" w:rsidRDefault="005539C1" w:rsidP="00033AC0">
            <w:pPr>
              <w:pStyle w:val="STTABULKY"/>
            </w:pPr>
            <w:r>
              <w:t>zbytky po montáži zařízení</w:t>
            </w:r>
          </w:p>
        </w:tc>
      </w:tr>
      <w:tr w:rsidR="00B53E48" w:rsidRPr="005711E1" w14:paraId="3F721ED2" w14:textId="77777777" w:rsidTr="00F44CE1">
        <w:trPr>
          <w:cantSplit/>
          <w:trHeight w:val="562"/>
        </w:trPr>
        <w:tc>
          <w:tcPr>
            <w:tcW w:w="1238" w:type="dxa"/>
            <w:tcBorders>
              <w:left w:val="single" w:sz="12" w:space="0" w:color="auto"/>
            </w:tcBorders>
            <w:vAlign w:val="center"/>
          </w:tcPr>
          <w:p w14:paraId="5F051B7B" w14:textId="77777777" w:rsidR="00B53E48" w:rsidRPr="005711E1" w:rsidRDefault="00B53E48" w:rsidP="00033AC0">
            <w:pPr>
              <w:pStyle w:val="STTABULKY"/>
            </w:pPr>
            <w:r w:rsidRPr="005711E1">
              <w:t>17 04 05</w:t>
            </w:r>
          </w:p>
        </w:tc>
        <w:tc>
          <w:tcPr>
            <w:tcW w:w="759" w:type="dxa"/>
            <w:vAlign w:val="center"/>
          </w:tcPr>
          <w:p w14:paraId="61FC2276" w14:textId="77777777" w:rsidR="00B53E48" w:rsidRPr="005711E1" w:rsidRDefault="00B53E48" w:rsidP="00033AC0">
            <w:pPr>
              <w:pStyle w:val="STTABULKY"/>
            </w:pPr>
            <w:r w:rsidRPr="005711E1">
              <w:t>O</w:t>
            </w:r>
          </w:p>
        </w:tc>
        <w:tc>
          <w:tcPr>
            <w:tcW w:w="3803" w:type="dxa"/>
            <w:vAlign w:val="center"/>
          </w:tcPr>
          <w:p w14:paraId="20C2EE79" w14:textId="77777777" w:rsidR="00B53E48" w:rsidRPr="005711E1" w:rsidRDefault="00B53E48" w:rsidP="00033AC0">
            <w:pPr>
              <w:pStyle w:val="STTABULKY"/>
            </w:pPr>
            <w:r w:rsidRPr="005711E1">
              <w:t>železo a ocel</w:t>
            </w:r>
          </w:p>
        </w:tc>
        <w:tc>
          <w:tcPr>
            <w:tcW w:w="2705" w:type="dxa"/>
            <w:tcBorders>
              <w:right w:val="single" w:sz="12" w:space="0" w:color="auto"/>
            </w:tcBorders>
            <w:vAlign w:val="center"/>
          </w:tcPr>
          <w:p w14:paraId="7143571E" w14:textId="77777777" w:rsidR="00B53E48" w:rsidRPr="005711E1" w:rsidRDefault="00B53E48" w:rsidP="00033AC0">
            <w:pPr>
              <w:pStyle w:val="STTABULKY"/>
            </w:pPr>
            <w:r w:rsidRPr="005711E1">
              <w:t>ocel. konstrukce</w:t>
            </w:r>
          </w:p>
        </w:tc>
      </w:tr>
      <w:tr w:rsidR="00B53E48" w:rsidRPr="005711E1" w14:paraId="06A36A1F" w14:textId="77777777" w:rsidTr="00904061">
        <w:trPr>
          <w:cantSplit/>
          <w:trHeight w:val="184"/>
        </w:trPr>
        <w:tc>
          <w:tcPr>
            <w:tcW w:w="8505" w:type="dxa"/>
            <w:gridSpan w:val="4"/>
            <w:tcBorders>
              <w:left w:val="single" w:sz="12" w:space="0" w:color="auto"/>
              <w:right w:val="single" w:sz="12" w:space="0" w:color="auto"/>
            </w:tcBorders>
            <w:vAlign w:val="center"/>
          </w:tcPr>
          <w:p w14:paraId="5BA5E733" w14:textId="77777777" w:rsidR="00B53E48" w:rsidRPr="005711E1" w:rsidRDefault="00B53E48" w:rsidP="00033AC0">
            <w:pPr>
              <w:pStyle w:val="STTABULKY"/>
            </w:pPr>
          </w:p>
        </w:tc>
      </w:tr>
      <w:tr w:rsidR="005539C1" w:rsidRPr="005711E1" w14:paraId="53EDE5D6" w14:textId="77777777" w:rsidTr="00F44CE1">
        <w:trPr>
          <w:cantSplit/>
        </w:trPr>
        <w:tc>
          <w:tcPr>
            <w:tcW w:w="1238" w:type="dxa"/>
            <w:tcBorders>
              <w:left w:val="single" w:sz="12" w:space="0" w:color="auto"/>
            </w:tcBorders>
            <w:vAlign w:val="center"/>
          </w:tcPr>
          <w:p w14:paraId="462ACB87" w14:textId="77777777" w:rsidR="005539C1" w:rsidRPr="005711E1" w:rsidRDefault="005539C1" w:rsidP="00033AC0">
            <w:pPr>
              <w:pStyle w:val="STTABULKY"/>
            </w:pPr>
            <w:r w:rsidRPr="005711E1">
              <w:t>17 04 11</w:t>
            </w:r>
          </w:p>
        </w:tc>
        <w:tc>
          <w:tcPr>
            <w:tcW w:w="759" w:type="dxa"/>
            <w:vAlign w:val="center"/>
          </w:tcPr>
          <w:p w14:paraId="72CED095" w14:textId="77777777" w:rsidR="005539C1" w:rsidRPr="005711E1" w:rsidRDefault="005539C1" w:rsidP="00033AC0">
            <w:pPr>
              <w:pStyle w:val="STTABULKY"/>
            </w:pPr>
            <w:r w:rsidRPr="005711E1">
              <w:t>O</w:t>
            </w:r>
          </w:p>
        </w:tc>
        <w:tc>
          <w:tcPr>
            <w:tcW w:w="3803" w:type="dxa"/>
            <w:vAlign w:val="center"/>
          </w:tcPr>
          <w:p w14:paraId="0324DC78" w14:textId="77777777" w:rsidR="005539C1" w:rsidRPr="005711E1" w:rsidRDefault="005539C1" w:rsidP="00033AC0">
            <w:pPr>
              <w:pStyle w:val="STTABULKY"/>
            </w:pPr>
            <w:r w:rsidRPr="005711E1">
              <w:t>kabely</w:t>
            </w:r>
          </w:p>
        </w:tc>
        <w:tc>
          <w:tcPr>
            <w:tcW w:w="2705" w:type="dxa"/>
            <w:tcBorders>
              <w:right w:val="single" w:sz="12" w:space="0" w:color="auto"/>
            </w:tcBorders>
            <w:vAlign w:val="center"/>
          </w:tcPr>
          <w:p w14:paraId="382A9048" w14:textId="5051E4E1" w:rsidR="005539C1" w:rsidRPr="005711E1" w:rsidRDefault="005539C1" w:rsidP="00033AC0">
            <w:pPr>
              <w:pStyle w:val="STTABULKY"/>
            </w:pPr>
            <w:r w:rsidRPr="005711E1">
              <w:t>zbytky kabelů při pokládání sítí</w:t>
            </w:r>
            <w:r w:rsidR="00033AC0">
              <w:t>, odstraňování stávajících sítí</w:t>
            </w:r>
          </w:p>
        </w:tc>
      </w:tr>
      <w:tr w:rsidR="005539C1" w:rsidRPr="005711E1" w14:paraId="658AFD0B" w14:textId="77777777" w:rsidTr="00F44CE1">
        <w:trPr>
          <w:cantSplit/>
        </w:trPr>
        <w:tc>
          <w:tcPr>
            <w:tcW w:w="1238" w:type="dxa"/>
            <w:vMerge w:val="restart"/>
            <w:tcBorders>
              <w:left w:val="single" w:sz="12" w:space="0" w:color="auto"/>
            </w:tcBorders>
            <w:vAlign w:val="center"/>
          </w:tcPr>
          <w:p w14:paraId="68971EC1" w14:textId="77777777" w:rsidR="005539C1" w:rsidRPr="005711E1" w:rsidRDefault="005539C1" w:rsidP="00033AC0">
            <w:pPr>
              <w:pStyle w:val="STTABULKY"/>
            </w:pPr>
            <w:r w:rsidRPr="005711E1">
              <w:t>17 06 04</w:t>
            </w:r>
          </w:p>
        </w:tc>
        <w:tc>
          <w:tcPr>
            <w:tcW w:w="759" w:type="dxa"/>
            <w:vMerge w:val="restart"/>
            <w:vAlign w:val="center"/>
          </w:tcPr>
          <w:p w14:paraId="0883AE0E" w14:textId="77777777" w:rsidR="005539C1" w:rsidRPr="005711E1" w:rsidRDefault="005539C1" w:rsidP="00033AC0">
            <w:pPr>
              <w:pStyle w:val="STTABULKY"/>
            </w:pPr>
            <w:r w:rsidRPr="005711E1">
              <w:t>O</w:t>
            </w:r>
          </w:p>
        </w:tc>
        <w:tc>
          <w:tcPr>
            <w:tcW w:w="3803" w:type="dxa"/>
            <w:vMerge w:val="restart"/>
            <w:vAlign w:val="center"/>
          </w:tcPr>
          <w:p w14:paraId="3EB8FDB1" w14:textId="77777777" w:rsidR="005539C1" w:rsidRPr="005711E1" w:rsidRDefault="005539C1" w:rsidP="00033AC0">
            <w:pPr>
              <w:pStyle w:val="STTABULKY"/>
            </w:pPr>
            <w:r w:rsidRPr="005711E1">
              <w:t>Izolační materiály     neuvedené pod č. 17 06 01 a 17 06 03</w:t>
            </w:r>
          </w:p>
        </w:tc>
        <w:tc>
          <w:tcPr>
            <w:tcW w:w="2705" w:type="dxa"/>
            <w:tcBorders>
              <w:right w:val="single" w:sz="12" w:space="0" w:color="auto"/>
            </w:tcBorders>
            <w:vAlign w:val="center"/>
          </w:tcPr>
          <w:p w14:paraId="59E94864" w14:textId="77777777" w:rsidR="005539C1" w:rsidRPr="005711E1" w:rsidRDefault="005539C1" w:rsidP="00033AC0">
            <w:pPr>
              <w:pStyle w:val="STTABULKY"/>
            </w:pPr>
            <w:r w:rsidRPr="005711E1">
              <w:t>izolace z minerálních vláken</w:t>
            </w:r>
          </w:p>
        </w:tc>
      </w:tr>
      <w:tr w:rsidR="005539C1" w:rsidRPr="005711E1" w14:paraId="5FECEB37" w14:textId="77777777" w:rsidTr="00F44CE1">
        <w:trPr>
          <w:cantSplit/>
        </w:trPr>
        <w:tc>
          <w:tcPr>
            <w:tcW w:w="1238" w:type="dxa"/>
            <w:vMerge/>
            <w:tcBorders>
              <w:left w:val="single" w:sz="12" w:space="0" w:color="auto"/>
            </w:tcBorders>
            <w:vAlign w:val="center"/>
          </w:tcPr>
          <w:p w14:paraId="201A6B3C" w14:textId="77777777" w:rsidR="005539C1" w:rsidRPr="005711E1" w:rsidRDefault="005539C1" w:rsidP="00033AC0">
            <w:pPr>
              <w:pStyle w:val="STTABULKY"/>
            </w:pPr>
          </w:p>
        </w:tc>
        <w:tc>
          <w:tcPr>
            <w:tcW w:w="759" w:type="dxa"/>
            <w:vMerge/>
            <w:vAlign w:val="center"/>
          </w:tcPr>
          <w:p w14:paraId="3090A747" w14:textId="77777777" w:rsidR="005539C1" w:rsidRPr="005711E1" w:rsidRDefault="005539C1" w:rsidP="00033AC0">
            <w:pPr>
              <w:pStyle w:val="STTABULKY"/>
            </w:pPr>
          </w:p>
        </w:tc>
        <w:tc>
          <w:tcPr>
            <w:tcW w:w="3803" w:type="dxa"/>
            <w:vMerge/>
            <w:vAlign w:val="center"/>
          </w:tcPr>
          <w:p w14:paraId="386E1766" w14:textId="77777777" w:rsidR="005539C1" w:rsidRPr="005711E1" w:rsidRDefault="005539C1" w:rsidP="00033AC0">
            <w:pPr>
              <w:pStyle w:val="STTABULKY"/>
            </w:pPr>
          </w:p>
        </w:tc>
        <w:tc>
          <w:tcPr>
            <w:tcW w:w="2705" w:type="dxa"/>
            <w:tcBorders>
              <w:right w:val="single" w:sz="12" w:space="0" w:color="auto"/>
            </w:tcBorders>
            <w:vAlign w:val="center"/>
          </w:tcPr>
          <w:p w14:paraId="72847E44" w14:textId="77777777" w:rsidR="005539C1" w:rsidRPr="005711E1" w:rsidRDefault="005539C1" w:rsidP="00033AC0">
            <w:pPr>
              <w:pStyle w:val="STTABULKY"/>
            </w:pPr>
            <w:r w:rsidRPr="005711E1">
              <w:t>izolační pásy, polystyrén</w:t>
            </w:r>
          </w:p>
        </w:tc>
      </w:tr>
      <w:tr w:rsidR="00B53E48" w:rsidRPr="005711E1" w14:paraId="530EFBC0" w14:textId="77777777" w:rsidTr="00AC56BC">
        <w:trPr>
          <w:cantSplit/>
        </w:trPr>
        <w:tc>
          <w:tcPr>
            <w:tcW w:w="8505" w:type="dxa"/>
            <w:gridSpan w:val="4"/>
            <w:tcBorders>
              <w:left w:val="single" w:sz="12" w:space="0" w:color="auto"/>
              <w:right w:val="single" w:sz="12" w:space="0" w:color="auto"/>
            </w:tcBorders>
            <w:vAlign w:val="center"/>
          </w:tcPr>
          <w:p w14:paraId="526A4CBE" w14:textId="77777777" w:rsidR="00B53E48" w:rsidRPr="005711E1" w:rsidRDefault="00B53E48" w:rsidP="00033AC0">
            <w:pPr>
              <w:pStyle w:val="STTABULKY"/>
            </w:pPr>
          </w:p>
        </w:tc>
      </w:tr>
      <w:tr w:rsidR="005539C1" w:rsidRPr="005711E1" w14:paraId="573D93A8" w14:textId="77777777" w:rsidTr="00F44CE1">
        <w:trPr>
          <w:cantSplit/>
        </w:trPr>
        <w:tc>
          <w:tcPr>
            <w:tcW w:w="1238" w:type="dxa"/>
            <w:tcBorders>
              <w:left w:val="single" w:sz="12" w:space="0" w:color="auto"/>
            </w:tcBorders>
            <w:vAlign w:val="center"/>
          </w:tcPr>
          <w:p w14:paraId="00DCCFB8" w14:textId="77777777" w:rsidR="005539C1" w:rsidRPr="005711E1" w:rsidRDefault="005539C1" w:rsidP="00033AC0">
            <w:pPr>
              <w:pStyle w:val="STTABULKY"/>
            </w:pPr>
            <w:r w:rsidRPr="005711E1">
              <w:t>17 08 02</w:t>
            </w:r>
          </w:p>
        </w:tc>
        <w:tc>
          <w:tcPr>
            <w:tcW w:w="759" w:type="dxa"/>
            <w:vAlign w:val="center"/>
          </w:tcPr>
          <w:p w14:paraId="32196697" w14:textId="77777777" w:rsidR="005539C1" w:rsidRPr="005711E1" w:rsidRDefault="005539C1" w:rsidP="00033AC0">
            <w:pPr>
              <w:pStyle w:val="STTABULKY"/>
            </w:pPr>
            <w:r w:rsidRPr="005711E1">
              <w:t>O</w:t>
            </w:r>
          </w:p>
        </w:tc>
        <w:tc>
          <w:tcPr>
            <w:tcW w:w="3803" w:type="dxa"/>
            <w:vAlign w:val="center"/>
          </w:tcPr>
          <w:p w14:paraId="138170CC" w14:textId="77777777" w:rsidR="005539C1" w:rsidRPr="005711E1" w:rsidRDefault="005539C1" w:rsidP="00033AC0">
            <w:pPr>
              <w:pStyle w:val="STTABULKY"/>
            </w:pPr>
            <w:r w:rsidRPr="005711E1">
              <w:t>stavební materiály na bázi sádry neuvedené pod č. 17 08 01</w:t>
            </w:r>
          </w:p>
        </w:tc>
        <w:tc>
          <w:tcPr>
            <w:tcW w:w="2705" w:type="dxa"/>
            <w:tcBorders>
              <w:right w:val="single" w:sz="12" w:space="0" w:color="auto"/>
            </w:tcBorders>
            <w:vAlign w:val="center"/>
          </w:tcPr>
          <w:p w14:paraId="67D0FB17" w14:textId="77777777" w:rsidR="005539C1" w:rsidRPr="005711E1" w:rsidRDefault="005539C1" w:rsidP="00033AC0">
            <w:pPr>
              <w:pStyle w:val="STTABULKY"/>
            </w:pPr>
            <w:r w:rsidRPr="005711E1">
              <w:t>sádrokarton</w:t>
            </w:r>
          </w:p>
        </w:tc>
      </w:tr>
      <w:tr w:rsidR="005539C1" w:rsidRPr="005711E1" w14:paraId="771E0D73" w14:textId="77777777" w:rsidTr="00F44CE1">
        <w:trPr>
          <w:cantSplit/>
        </w:trPr>
        <w:tc>
          <w:tcPr>
            <w:tcW w:w="1238" w:type="dxa"/>
            <w:tcBorders>
              <w:left w:val="single" w:sz="12" w:space="0" w:color="auto"/>
            </w:tcBorders>
            <w:vAlign w:val="center"/>
          </w:tcPr>
          <w:p w14:paraId="70568492" w14:textId="77777777" w:rsidR="005539C1" w:rsidRPr="005711E1" w:rsidRDefault="005539C1" w:rsidP="00033AC0">
            <w:pPr>
              <w:pStyle w:val="STTABULKY"/>
            </w:pPr>
            <w:r w:rsidRPr="005711E1">
              <w:t>17 09 04</w:t>
            </w:r>
          </w:p>
        </w:tc>
        <w:tc>
          <w:tcPr>
            <w:tcW w:w="759" w:type="dxa"/>
            <w:vAlign w:val="center"/>
          </w:tcPr>
          <w:p w14:paraId="4228CE7F" w14:textId="77777777" w:rsidR="005539C1" w:rsidRPr="005711E1" w:rsidRDefault="005539C1" w:rsidP="00033AC0">
            <w:pPr>
              <w:pStyle w:val="STTABULKY"/>
            </w:pPr>
            <w:r w:rsidRPr="005711E1">
              <w:t>N</w:t>
            </w:r>
          </w:p>
        </w:tc>
        <w:tc>
          <w:tcPr>
            <w:tcW w:w="3803" w:type="dxa"/>
            <w:vAlign w:val="center"/>
          </w:tcPr>
          <w:p w14:paraId="3286C8E9" w14:textId="77777777" w:rsidR="005539C1" w:rsidRPr="005711E1" w:rsidRDefault="005539C1" w:rsidP="00033AC0">
            <w:pPr>
              <w:pStyle w:val="STTABULKY"/>
            </w:pPr>
            <w:r w:rsidRPr="005711E1">
              <w:t>směsné stavební a demoliční odpady neuvedené pod č. 17 09 01, 17 09 02 a 17 09 03</w:t>
            </w:r>
          </w:p>
        </w:tc>
        <w:tc>
          <w:tcPr>
            <w:tcW w:w="2705" w:type="dxa"/>
            <w:tcBorders>
              <w:right w:val="single" w:sz="12" w:space="0" w:color="auto"/>
            </w:tcBorders>
            <w:vAlign w:val="center"/>
          </w:tcPr>
          <w:p w14:paraId="77D66643" w14:textId="77777777" w:rsidR="005539C1" w:rsidRPr="005711E1" w:rsidRDefault="005539C1" w:rsidP="00033AC0">
            <w:pPr>
              <w:pStyle w:val="STTABULKY"/>
            </w:pPr>
            <w:r w:rsidRPr="005711E1">
              <w:t>neroztříděné zbytky stav. materiálů</w:t>
            </w:r>
          </w:p>
        </w:tc>
      </w:tr>
      <w:tr w:rsidR="005539C1" w:rsidRPr="005711E1" w14:paraId="66873B2E" w14:textId="77777777" w:rsidTr="00F44CE1">
        <w:trPr>
          <w:cantSplit/>
        </w:trPr>
        <w:tc>
          <w:tcPr>
            <w:tcW w:w="1238" w:type="dxa"/>
            <w:tcBorders>
              <w:left w:val="single" w:sz="12" w:space="0" w:color="auto"/>
              <w:bottom w:val="single" w:sz="12" w:space="0" w:color="auto"/>
            </w:tcBorders>
            <w:vAlign w:val="center"/>
          </w:tcPr>
          <w:p w14:paraId="56F6F162" w14:textId="77777777" w:rsidR="005539C1" w:rsidRPr="005711E1" w:rsidRDefault="005539C1" w:rsidP="00033AC0">
            <w:pPr>
              <w:pStyle w:val="STTABULKY"/>
            </w:pPr>
            <w:r w:rsidRPr="005711E1">
              <w:t>20 03 01</w:t>
            </w:r>
          </w:p>
        </w:tc>
        <w:tc>
          <w:tcPr>
            <w:tcW w:w="759" w:type="dxa"/>
            <w:tcBorders>
              <w:bottom w:val="single" w:sz="12" w:space="0" w:color="auto"/>
            </w:tcBorders>
            <w:vAlign w:val="center"/>
          </w:tcPr>
          <w:p w14:paraId="5A971923" w14:textId="77777777" w:rsidR="005539C1" w:rsidRPr="005711E1" w:rsidRDefault="005539C1" w:rsidP="00033AC0">
            <w:pPr>
              <w:pStyle w:val="STTABULKY"/>
            </w:pPr>
            <w:r w:rsidRPr="005711E1">
              <w:t>O</w:t>
            </w:r>
          </w:p>
        </w:tc>
        <w:tc>
          <w:tcPr>
            <w:tcW w:w="3803" w:type="dxa"/>
            <w:tcBorders>
              <w:bottom w:val="single" w:sz="12" w:space="0" w:color="auto"/>
            </w:tcBorders>
            <w:vAlign w:val="center"/>
          </w:tcPr>
          <w:p w14:paraId="71AC3A10" w14:textId="77777777" w:rsidR="005539C1" w:rsidRPr="005711E1" w:rsidRDefault="005539C1" w:rsidP="00033AC0">
            <w:pPr>
              <w:pStyle w:val="STTABULKY"/>
            </w:pPr>
            <w:r w:rsidRPr="005711E1">
              <w:t>směsný komunální odpad</w:t>
            </w:r>
          </w:p>
        </w:tc>
        <w:tc>
          <w:tcPr>
            <w:tcW w:w="2705" w:type="dxa"/>
            <w:tcBorders>
              <w:bottom w:val="single" w:sz="12" w:space="0" w:color="auto"/>
              <w:right w:val="single" w:sz="12" w:space="0" w:color="auto"/>
            </w:tcBorders>
            <w:vAlign w:val="center"/>
          </w:tcPr>
          <w:p w14:paraId="773C7CA8" w14:textId="77777777" w:rsidR="005539C1" w:rsidRPr="005711E1" w:rsidRDefault="005539C1" w:rsidP="00033AC0">
            <w:pPr>
              <w:pStyle w:val="STTABULKY"/>
            </w:pPr>
            <w:r w:rsidRPr="005711E1">
              <w:t>běžný odpad z provozu zařízení staveniště</w:t>
            </w:r>
          </w:p>
        </w:tc>
      </w:tr>
    </w:tbl>
    <w:p w14:paraId="517785D6" w14:textId="77777777" w:rsidR="005539C1" w:rsidRDefault="005539C1" w:rsidP="005539C1">
      <w:pPr>
        <w:pStyle w:val="STNORMLN-2"/>
      </w:pPr>
    </w:p>
    <w:p w14:paraId="670ABD75" w14:textId="7B05D39E" w:rsidR="00084795" w:rsidRPr="00F44CE1" w:rsidRDefault="00084795" w:rsidP="002D5BF2">
      <w:pPr>
        <w:pStyle w:val="STodrkyabc"/>
        <w:rPr>
          <w:b/>
        </w:rPr>
      </w:pPr>
      <w:r w:rsidRPr="00F44CE1">
        <w:t>Vibrace, hluk, prašnost</w:t>
      </w:r>
    </w:p>
    <w:p w14:paraId="29943E46" w14:textId="55209A66" w:rsidR="00131EC8" w:rsidRDefault="00A377A4" w:rsidP="00131EC8">
      <w:pPr>
        <w:pStyle w:val="STNORMLN-2"/>
      </w:pPr>
      <w:r>
        <w:t>Stavba nebude zatěžovat okolí vibracemi, hlukem a prašností.</w:t>
      </w:r>
    </w:p>
    <w:p w14:paraId="5ED0145E" w14:textId="77777777" w:rsidR="00B53E48" w:rsidRPr="00B83ED2" w:rsidRDefault="00B53E48" w:rsidP="00131EC8">
      <w:pPr>
        <w:pStyle w:val="STNORMLN-2"/>
      </w:pPr>
    </w:p>
    <w:p w14:paraId="619B9367" w14:textId="3E2907DE" w:rsidR="00B74BC0" w:rsidRPr="00B83ED2" w:rsidRDefault="00B74BC0" w:rsidP="002D5BF2">
      <w:pPr>
        <w:pStyle w:val="STNADPIS2"/>
      </w:pPr>
      <w:bookmarkStart w:id="218" w:name="_Toc18567063"/>
      <w:bookmarkStart w:id="219" w:name="_Toc24561600"/>
      <w:bookmarkStart w:id="220" w:name="_Toc24561705"/>
      <w:bookmarkStart w:id="221" w:name="_Toc24641063"/>
      <w:r w:rsidRPr="00B83ED2">
        <w:t>Zásady ochrany stavby před negativními účinky vnějšího prostředí</w:t>
      </w:r>
      <w:bookmarkEnd w:id="218"/>
      <w:bookmarkEnd w:id="219"/>
      <w:bookmarkEnd w:id="220"/>
      <w:bookmarkEnd w:id="221"/>
    </w:p>
    <w:p w14:paraId="2872B1AF" w14:textId="4C795AEC" w:rsidR="00B74BC0" w:rsidRPr="00F44CE1" w:rsidRDefault="00B74BC0" w:rsidP="002D5BF2">
      <w:pPr>
        <w:pStyle w:val="STodrkyabc"/>
        <w:rPr>
          <w:b/>
        </w:rPr>
      </w:pPr>
      <w:bookmarkStart w:id="222" w:name="_Toc24561601"/>
      <w:bookmarkStart w:id="223" w:name="_Toc24561706"/>
      <w:r w:rsidRPr="00F44CE1">
        <w:t>Ochrana před pronikáním radonu z podloží</w:t>
      </w:r>
      <w:bookmarkEnd w:id="222"/>
      <w:bookmarkEnd w:id="223"/>
    </w:p>
    <w:p w14:paraId="6A01A2CF" w14:textId="77777777" w:rsidR="006E661E" w:rsidRDefault="006E661E" w:rsidP="00041ABB">
      <w:pPr>
        <w:pStyle w:val="STNORMLN-2"/>
      </w:pPr>
      <w:r>
        <w:t>Případný výskyt radonu z podloží návrh eliminuje.</w:t>
      </w:r>
    </w:p>
    <w:p w14:paraId="4AC53774" w14:textId="102E94AA" w:rsidR="00084795" w:rsidRPr="00F44CE1" w:rsidRDefault="00084795" w:rsidP="002D5BF2">
      <w:pPr>
        <w:pStyle w:val="STodrkyabc"/>
        <w:rPr>
          <w:b/>
        </w:rPr>
      </w:pPr>
      <w:bookmarkStart w:id="224" w:name="_Toc24561602"/>
      <w:bookmarkStart w:id="225" w:name="_Toc24561707"/>
      <w:r w:rsidRPr="00F44CE1">
        <w:t>Ochrana před technickou seizmicitou</w:t>
      </w:r>
      <w:bookmarkEnd w:id="224"/>
      <w:bookmarkEnd w:id="225"/>
    </w:p>
    <w:p w14:paraId="48250286" w14:textId="7937DCCD" w:rsidR="003054E9" w:rsidRPr="00B83ED2" w:rsidRDefault="003054E9" w:rsidP="003054E9">
      <w:pPr>
        <w:pStyle w:val="STNORMLN-2"/>
        <w:rPr>
          <w:rFonts w:cs="Segoe UI"/>
          <w:b/>
          <w:color w:val="auto"/>
          <w:sz w:val="24"/>
        </w:rPr>
      </w:pPr>
      <w:r w:rsidRPr="00B83ED2">
        <w:rPr>
          <w:rFonts w:cs="Segoe UI"/>
        </w:rPr>
        <w:t>Stavba není ohrožena vlivy technické seizmicity.</w:t>
      </w:r>
    </w:p>
    <w:p w14:paraId="7CD46A87" w14:textId="22E47514" w:rsidR="00084795" w:rsidRPr="00F44CE1" w:rsidRDefault="00084795" w:rsidP="002D5BF2">
      <w:pPr>
        <w:pStyle w:val="STodrkyabc"/>
        <w:rPr>
          <w:b/>
        </w:rPr>
      </w:pPr>
      <w:bookmarkStart w:id="226" w:name="_Toc24561603"/>
      <w:bookmarkStart w:id="227" w:name="_Toc24561708"/>
      <w:r w:rsidRPr="00F44CE1">
        <w:t>Ochrana před hlukem</w:t>
      </w:r>
      <w:bookmarkEnd w:id="226"/>
      <w:bookmarkEnd w:id="227"/>
    </w:p>
    <w:p w14:paraId="261D5A42" w14:textId="77777777" w:rsidR="00AF5D80" w:rsidRPr="004E62A9" w:rsidRDefault="00AF5D80" w:rsidP="00041ABB">
      <w:pPr>
        <w:pStyle w:val="STNORMLN-2"/>
      </w:pPr>
      <w:r w:rsidRPr="004E62A9">
        <w:t>Pokoje budou větrány nuceným způsobem, nemají tedy definován chráněný venkovní prostor stavby, pouze chráněný vnitřní prostor stavby. Tento chránění prostor bude ochráněn oknem se zvukovou izolací a obvodovou konstrukcí.</w:t>
      </w:r>
    </w:p>
    <w:p w14:paraId="4F1C67A6" w14:textId="77777777" w:rsidR="00AF5D80" w:rsidRPr="00B83ED2" w:rsidRDefault="00AF5D80" w:rsidP="00041ABB">
      <w:pPr>
        <w:pStyle w:val="STNORMLN-2"/>
      </w:pPr>
      <w:r>
        <w:t xml:space="preserve">Hluk ze strany železnice je </w:t>
      </w:r>
      <w:commentRangeStart w:id="228"/>
      <w:commentRangeStart w:id="229"/>
      <w:r>
        <w:t>eliminován stávajícím protihlukovým oplocením.</w:t>
      </w:r>
      <w:commentRangeEnd w:id="228"/>
      <w:r>
        <w:rPr>
          <w:rStyle w:val="Odkaznakoment"/>
          <w:rFonts w:asciiTheme="minorHAnsi" w:hAnsiTheme="minorHAnsi"/>
          <w:color w:val="auto"/>
        </w:rPr>
        <w:commentReference w:id="228"/>
      </w:r>
      <w:commentRangeEnd w:id="229"/>
      <w:r>
        <w:rPr>
          <w:rStyle w:val="Odkaznakoment"/>
          <w:rFonts w:asciiTheme="minorHAnsi" w:hAnsiTheme="minorHAnsi"/>
          <w:color w:val="auto"/>
        </w:rPr>
        <w:commentReference w:id="229"/>
      </w:r>
    </w:p>
    <w:p w14:paraId="63B7516E" w14:textId="75AF20C3" w:rsidR="00084795" w:rsidRPr="00F44CE1" w:rsidRDefault="00A84B42" w:rsidP="00FE150C">
      <w:pPr>
        <w:pStyle w:val="STNORMLN-2"/>
        <w:rPr>
          <w:b/>
        </w:rPr>
      </w:pPr>
      <w:commentRangeStart w:id="230"/>
      <w:commentRangeEnd w:id="230"/>
      <w:r>
        <w:rPr>
          <w:rStyle w:val="Odkaznakoment"/>
          <w:rFonts w:asciiTheme="minorHAnsi" w:hAnsiTheme="minorHAnsi"/>
          <w:color w:val="auto"/>
        </w:rPr>
        <w:commentReference w:id="230"/>
      </w:r>
      <w:r w:rsidR="00084795" w:rsidRPr="00F44CE1">
        <w:t>Protipovodňová opatření</w:t>
      </w:r>
    </w:p>
    <w:p w14:paraId="4DE59425" w14:textId="101266E4" w:rsidR="003054E9" w:rsidRPr="00B83ED2" w:rsidRDefault="003054E9" w:rsidP="003054E9">
      <w:pPr>
        <w:pStyle w:val="STNORMLN-2"/>
        <w:rPr>
          <w:rFonts w:cs="Segoe UI"/>
        </w:rPr>
      </w:pPr>
      <w:r w:rsidRPr="00B83ED2">
        <w:rPr>
          <w:rFonts w:cs="Segoe UI"/>
        </w:rPr>
        <w:t>Vzhledem k poloze stavby není předmětem.</w:t>
      </w:r>
    </w:p>
    <w:p w14:paraId="5C30985E" w14:textId="72CE95FD" w:rsidR="00084795" w:rsidRPr="00F44CE1" w:rsidRDefault="00084795" w:rsidP="002D5BF2">
      <w:pPr>
        <w:pStyle w:val="STodrkyabc"/>
        <w:rPr>
          <w:b/>
        </w:rPr>
      </w:pPr>
      <w:bookmarkStart w:id="231" w:name="_Toc24561604"/>
      <w:bookmarkStart w:id="232" w:name="_Toc24561709"/>
      <w:r w:rsidRPr="00F44CE1">
        <w:t xml:space="preserve">Ochrana před ostatními </w:t>
      </w:r>
      <w:r w:rsidR="003054E9" w:rsidRPr="00F44CE1">
        <w:t>účinky – vlivem</w:t>
      </w:r>
      <w:r w:rsidRPr="00F44CE1">
        <w:t xml:space="preserve"> poddolování, výskytem metanu apod.</w:t>
      </w:r>
      <w:bookmarkEnd w:id="231"/>
      <w:bookmarkEnd w:id="232"/>
      <w:r w:rsidRPr="00F44CE1">
        <w:t xml:space="preserve"> </w:t>
      </w:r>
    </w:p>
    <w:p w14:paraId="7A5CF5E8" w14:textId="67DAD389" w:rsidR="003054E9" w:rsidRDefault="003054E9" w:rsidP="003054E9">
      <w:pPr>
        <w:pStyle w:val="STNORMLN-2"/>
        <w:rPr>
          <w:rFonts w:cs="Segoe UI"/>
        </w:rPr>
      </w:pPr>
      <w:r w:rsidRPr="00B83ED2">
        <w:rPr>
          <w:rFonts w:cs="Segoe UI"/>
        </w:rPr>
        <w:t>Není předmětem – objekt se nenachází v území s předpokládaným výskytem.</w:t>
      </w:r>
    </w:p>
    <w:p w14:paraId="5B478081" w14:textId="6546876C" w:rsidR="00B74BC0" w:rsidRPr="00605742" w:rsidRDefault="00F47319" w:rsidP="002D5BF2">
      <w:pPr>
        <w:pStyle w:val="STNADPIS1"/>
      </w:pPr>
      <w:bookmarkStart w:id="233" w:name="_Toc18507121"/>
      <w:bookmarkStart w:id="234" w:name="_Toc18507922"/>
      <w:bookmarkStart w:id="235" w:name="_Toc18566628"/>
      <w:bookmarkStart w:id="236" w:name="_Toc18566892"/>
      <w:bookmarkStart w:id="237" w:name="_Toc18567064"/>
      <w:bookmarkStart w:id="238" w:name="_Toc18567065"/>
      <w:bookmarkStart w:id="239" w:name="_Toc24561605"/>
      <w:bookmarkStart w:id="240" w:name="_Toc24561710"/>
      <w:bookmarkStart w:id="241" w:name="_Toc24641064"/>
      <w:bookmarkEnd w:id="233"/>
      <w:bookmarkEnd w:id="234"/>
      <w:bookmarkEnd w:id="235"/>
      <w:bookmarkEnd w:id="236"/>
      <w:bookmarkEnd w:id="237"/>
      <w:r w:rsidRPr="00605742">
        <w:t>Připojení na technickou infrastrukturu</w:t>
      </w:r>
      <w:bookmarkEnd w:id="238"/>
      <w:bookmarkEnd w:id="239"/>
      <w:bookmarkEnd w:id="240"/>
      <w:bookmarkEnd w:id="241"/>
    </w:p>
    <w:p w14:paraId="56BBD573" w14:textId="054F9223" w:rsidR="00F47319" w:rsidRPr="00B83ED2" w:rsidRDefault="00F47319" w:rsidP="002D5BF2">
      <w:pPr>
        <w:pStyle w:val="STNADPIS2"/>
      </w:pPr>
      <w:bookmarkStart w:id="242" w:name="_Toc18567066"/>
      <w:bookmarkStart w:id="243" w:name="_Toc24561606"/>
      <w:bookmarkStart w:id="244" w:name="_Toc24561711"/>
      <w:bookmarkStart w:id="245" w:name="_Toc24641065"/>
      <w:r w:rsidRPr="00B83ED2">
        <w:t>Napojovací místa technické infrastruktury</w:t>
      </w:r>
      <w:bookmarkEnd w:id="242"/>
      <w:bookmarkEnd w:id="243"/>
      <w:bookmarkEnd w:id="244"/>
      <w:bookmarkEnd w:id="245"/>
    </w:p>
    <w:p w14:paraId="0592E528" w14:textId="59E28F6E" w:rsidR="00D24B22" w:rsidRPr="002D5BF2" w:rsidRDefault="000307FD" w:rsidP="002D5BF2">
      <w:pPr>
        <w:pStyle w:val="STodrkyabc"/>
        <w:numPr>
          <w:ilvl w:val="0"/>
          <w:numId w:val="32"/>
        </w:numPr>
        <w:rPr>
          <w:b/>
        </w:rPr>
      </w:pPr>
      <w:r w:rsidRPr="00F44CE1">
        <w:t xml:space="preserve">SO 0302 </w:t>
      </w:r>
      <w:r w:rsidR="00D24B22" w:rsidRPr="00F44CE1">
        <w:t>Vodovod</w:t>
      </w:r>
      <w:r w:rsidRPr="00F44CE1">
        <w:t>ní přípojka</w:t>
      </w:r>
    </w:p>
    <w:p w14:paraId="5A7AAF65" w14:textId="77777777" w:rsidR="00BC1CE3" w:rsidRDefault="00BC1CE3" w:rsidP="00BC1CE3">
      <w:pPr>
        <w:pStyle w:val="STNORMLN-2"/>
      </w:pPr>
      <w:r w:rsidRPr="00BC1CE3">
        <w:t xml:space="preserve">Navržená vodovodní přípojka bude napojena na stávající vodovodní řád LT80 v ulici Havlíčkova. Celková délka veřejné vodovodní přípojky je 10,8 m. Přípojka bude na stávající vodovodní řad napojena litinovým navrtávacím pasem s osazením litinového šoupěte a zemní soupravy s teleskopickou tyčí.  Vodovodní přípojka je navržena z potrubí HDPE 100 SDR 11 D 32 (40 x 3,7) ve sklonu 46,3 ‰ od napojení na veřejný vodovodní řad po hranici pozemku/obvodovou stěnu. Vodoměrná sestava bude hned za obvodovou zdí v technické místnosti v přízemí 1,0 m nad podlahou bytového domu. Potrubí bude spojováno PE </w:t>
      </w:r>
      <w:proofErr w:type="spellStart"/>
      <w:r w:rsidRPr="00BC1CE3">
        <w:t>elektrotvarovkami</w:t>
      </w:r>
      <w:proofErr w:type="spellEnd"/>
      <w:r w:rsidRPr="00BC1CE3">
        <w:t xml:space="preserve">. Prostor před vodoměrnou sestavou bude dostatečný (min. 1,0 m) pro výměnu částí/vodoměru. Prostup potrubí základy bude chráněn ocelovou chráničkou DN 63. Na potrubí budou osazeny gumové distanční manžety. U prostupu podlahou bude osazena těsnící manžeta, zabraňující proniknutí zemní vlhkosti. Překop místní komunikace Havlíčkova bude proveden po polovinách při zachování silničního provozu. </w:t>
      </w:r>
    </w:p>
    <w:p w14:paraId="4E69495C" w14:textId="017401EE" w:rsidR="00D24B22" w:rsidRPr="00F44CE1" w:rsidRDefault="006A2D44" w:rsidP="00BC1CE3">
      <w:pPr>
        <w:pStyle w:val="STodrkyabc"/>
        <w:rPr>
          <w:b/>
        </w:rPr>
      </w:pPr>
      <w:r w:rsidRPr="00F44CE1">
        <w:t>SO 0303 Přípojka kanalizace</w:t>
      </w:r>
    </w:p>
    <w:p w14:paraId="57E97021" w14:textId="77777777" w:rsidR="00BC1CE3" w:rsidRDefault="00BC1CE3" w:rsidP="00BC1CE3">
      <w:pPr>
        <w:pStyle w:val="STNORMLN-2"/>
      </w:pPr>
      <w:r>
        <w:t xml:space="preserve">Přípojka kanalizace bude zhotovena podle ČSN EN 1610 (75 6114). Kanalizace bude položena v souběhu s ostatními inženýrskými sítěmi dle ČSN 73 6005. Kanalizační přípojka veřejné části pro bytový dům je navržena z potrubí KT150, délky 11,0 m po revizní šachtu v suterénu objektu a ve sklonu 172,73 </w:t>
      </w:r>
      <w:r w:rsidRPr="003E37B3">
        <w:t xml:space="preserve">‰. Navržená kanalizační přípojka bude napojena na stávající kanalizaci BE400 v ulici Havlíčkova </w:t>
      </w:r>
      <w:r w:rsidRPr="004C5C40">
        <w:t xml:space="preserve">pomocí </w:t>
      </w:r>
      <w:proofErr w:type="spellStart"/>
      <w:r w:rsidRPr="004C5C40">
        <w:t>navrtávky</w:t>
      </w:r>
      <w:proofErr w:type="spellEnd"/>
      <w:r w:rsidRPr="004C5C40">
        <w:t xml:space="preserve"> jádrovým vrtáním</w:t>
      </w:r>
      <w:r w:rsidRPr="003E37B3">
        <w:t>.</w:t>
      </w:r>
      <w:r>
        <w:t xml:space="preserve"> </w:t>
      </w:r>
      <w:r w:rsidRPr="004C5C40">
        <w:t xml:space="preserve">Zatěsnění bude provedeno </w:t>
      </w:r>
      <w:proofErr w:type="spellStart"/>
      <w:r w:rsidRPr="004C5C40">
        <w:t>cementopolymerní</w:t>
      </w:r>
      <w:proofErr w:type="spellEnd"/>
      <w:r w:rsidRPr="004C5C40">
        <w:t xml:space="preserve"> maltou vhodnou pro odpadní vody a odolnou proti mrazu.</w:t>
      </w:r>
      <w:r>
        <w:t xml:space="preserve"> </w:t>
      </w:r>
      <w:r w:rsidRPr="004C5C40">
        <w:t>V objektu bude přípojka zakončena rozšířenou stávající revizní šachtu 600 x 1000 x 1400 mm v technické místnosti suterénu objektu.</w:t>
      </w:r>
      <w:r>
        <w:t xml:space="preserve"> </w:t>
      </w:r>
      <w:r w:rsidRPr="0089485E">
        <w:t xml:space="preserve">Překop místní komunikace Havlíčkova bude proveden po polovinách při zachování silničního provozu. </w:t>
      </w:r>
    </w:p>
    <w:p w14:paraId="274BDA1D" w14:textId="2B61899F" w:rsidR="00D24B22" w:rsidRPr="00F44CE1" w:rsidRDefault="00D24B22" w:rsidP="00BC1CE3">
      <w:pPr>
        <w:pStyle w:val="STodrkyabc"/>
        <w:rPr>
          <w:b/>
        </w:rPr>
      </w:pPr>
      <w:r w:rsidRPr="00F44CE1">
        <w:t>Plynovod</w:t>
      </w:r>
    </w:p>
    <w:p w14:paraId="5FD3EA5E" w14:textId="2E8A75B8" w:rsidR="005B48A3" w:rsidRDefault="005B48A3" w:rsidP="005B48A3">
      <w:pPr>
        <w:pStyle w:val="STNORMLN-2"/>
      </w:pPr>
      <w:bookmarkStart w:id="246" w:name="_Hlk18415440"/>
      <w:r>
        <w:t>Odběrné zařízení řešeného objektu naváže na stávající STL plynovodní přípojku PE 32 ukončenou HUP KK25 ve stávající nice v obvodové zdi na hranici pozemku.</w:t>
      </w:r>
    </w:p>
    <w:p w14:paraId="4A0A8F54" w14:textId="0858C2AC" w:rsidR="005B48A3" w:rsidRDefault="005B48A3" w:rsidP="00041ABB">
      <w:pPr>
        <w:pStyle w:val="STNORMLN-2"/>
      </w:pPr>
      <w:r>
        <w:t xml:space="preserve">Stávající instalace plynu v objektu je provedena včtena regulace a měření. Revizní technik dodavatele posoudí stav stávajícího rozvodu plynu a v případě, že bude nevyhovující bude provedena nová instalace. V případě, že bude vyhovující bude pouze </w:t>
      </w:r>
      <w:r w:rsidR="00605742">
        <w:t>připojen</w:t>
      </w:r>
      <w:r>
        <w:t xml:space="preserve"> plynovod DN 15</w:t>
      </w:r>
      <w:r w:rsidR="004D0093">
        <w:t xml:space="preserve"> </w:t>
      </w:r>
      <w:r>
        <w:t>pod kotel s osazením KK 15.</w:t>
      </w:r>
    </w:p>
    <w:bookmarkEnd w:id="246"/>
    <w:p w14:paraId="2F2F24DD" w14:textId="0DF34E2B" w:rsidR="00D24B22" w:rsidRPr="00F44CE1" w:rsidRDefault="00D24B22" w:rsidP="002D5BF2">
      <w:pPr>
        <w:pStyle w:val="STodrkyabc"/>
        <w:rPr>
          <w:b/>
        </w:rPr>
      </w:pPr>
      <w:r w:rsidRPr="00F44CE1">
        <w:t>Silnoproudé rozvody</w:t>
      </w:r>
    </w:p>
    <w:p w14:paraId="39CE135E" w14:textId="54CAD056" w:rsidR="005B48A3" w:rsidRDefault="005B48A3" w:rsidP="00041ABB">
      <w:pPr>
        <w:pStyle w:val="STNORMLN-2"/>
      </w:pPr>
      <w:r>
        <w:rPr>
          <w:rFonts w:cs="Segoe UI"/>
        </w:rPr>
        <w:t xml:space="preserve">Objekt je připojen samostatnou přípojkou ze sítě ČEZ na úrovni NN. </w:t>
      </w:r>
      <w:r>
        <w:t>Ve fasádě do ulice se nachází stávající skříň NN. Vývod do instalace objektu bude jištěn pojistkami do 3x63A Gg.</w:t>
      </w:r>
      <w:r w:rsidR="004D0093">
        <w:t xml:space="preserve"> </w:t>
      </w:r>
      <w:r>
        <w:t>Nad</w:t>
      </w:r>
      <w:r w:rsidR="004D0093">
        <w:t> </w:t>
      </w:r>
      <w:r>
        <w:t>přípojkovou skříň se osadí rozváděč elektroměru (RE) pro přímé měření, jistič před</w:t>
      </w:r>
      <w:r w:rsidR="004D0093">
        <w:t> </w:t>
      </w:r>
      <w:r>
        <w:t xml:space="preserve">elektroměrem 3x32A/B. Z rozváděče elektroměru povede dovnitř objektu přípojka NN kabelem CYKY 4x16. Kabel bude ukončený v hlavním rozváděči objektu R1. Paralelně </w:t>
      </w:r>
      <w:r w:rsidR="004D0093">
        <w:t>s </w:t>
      </w:r>
      <w:r>
        <w:t>přípojkou povede rezervní kabel CYKY 3x2,5 pro případné připojení HDO.</w:t>
      </w:r>
    </w:p>
    <w:p w14:paraId="3EA7F6D6" w14:textId="77777777" w:rsidR="00BC1CE3" w:rsidRDefault="00BC1CE3" w:rsidP="00BC1CE3">
      <w:pPr>
        <w:pStyle w:val="STodrkyabc"/>
        <w:numPr>
          <w:ilvl w:val="0"/>
          <w:numId w:val="26"/>
        </w:numPr>
        <w:spacing w:after="120" w:line="288" w:lineRule="auto"/>
        <w:ind w:left="567" w:hanging="567"/>
      </w:pPr>
      <w:r>
        <w:t>Slaboproudé rozvody</w:t>
      </w:r>
    </w:p>
    <w:p w14:paraId="4CB5422A" w14:textId="77777777" w:rsidR="00BC1CE3" w:rsidRDefault="00BC1CE3" w:rsidP="00BC1CE3">
      <w:pPr>
        <w:pStyle w:val="STodrkyabc"/>
        <w:numPr>
          <w:ilvl w:val="0"/>
          <w:numId w:val="0"/>
        </w:numPr>
      </w:pPr>
      <w:r>
        <w:t>Objekt je připojen na sít elektronických komunikací společnosti Česká telekomunikační infrastruktura a.s.</w:t>
      </w:r>
    </w:p>
    <w:p w14:paraId="03A74DC2" w14:textId="77777777" w:rsidR="00BC1CE3" w:rsidRDefault="00BC1CE3" w:rsidP="00041ABB">
      <w:pPr>
        <w:pStyle w:val="STNORMLN-2"/>
      </w:pPr>
    </w:p>
    <w:p w14:paraId="17164D7C" w14:textId="1F2C8E40" w:rsidR="00F47319" w:rsidRPr="00B83ED2" w:rsidRDefault="00F47319" w:rsidP="002D5BF2">
      <w:pPr>
        <w:pStyle w:val="STNADPIS2"/>
      </w:pPr>
      <w:bookmarkStart w:id="247" w:name="_Toc18507124"/>
      <w:bookmarkStart w:id="248" w:name="_Toc18507925"/>
      <w:bookmarkStart w:id="249" w:name="_Toc18566631"/>
      <w:bookmarkStart w:id="250" w:name="_Toc18566895"/>
      <w:bookmarkStart w:id="251" w:name="_Toc18567067"/>
      <w:bookmarkStart w:id="252" w:name="_Toc18507125"/>
      <w:bookmarkStart w:id="253" w:name="_Toc18507926"/>
      <w:bookmarkStart w:id="254" w:name="_Toc18566632"/>
      <w:bookmarkStart w:id="255" w:name="_Toc18566896"/>
      <w:bookmarkStart w:id="256" w:name="_Toc18567068"/>
      <w:bookmarkStart w:id="257" w:name="_Toc18567069"/>
      <w:bookmarkStart w:id="258" w:name="_Toc24561607"/>
      <w:bookmarkStart w:id="259" w:name="_Toc24561712"/>
      <w:bookmarkStart w:id="260" w:name="_Toc24641066"/>
      <w:bookmarkEnd w:id="247"/>
      <w:bookmarkEnd w:id="248"/>
      <w:bookmarkEnd w:id="249"/>
      <w:bookmarkEnd w:id="250"/>
      <w:bookmarkEnd w:id="251"/>
      <w:bookmarkEnd w:id="252"/>
      <w:bookmarkEnd w:id="253"/>
      <w:bookmarkEnd w:id="254"/>
      <w:bookmarkEnd w:id="255"/>
      <w:bookmarkEnd w:id="256"/>
      <w:r w:rsidRPr="00B83ED2">
        <w:t>Připojovací rozměry, výkonové kapacity a délky</w:t>
      </w:r>
      <w:bookmarkEnd w:id="257"/>
      <w:bookmarkEnd w:id="258"/>
      <w:bookmarkEnd w:id="259"/>
      <w:bookmarkEnd w:id="260"/>
    </w:p>
    <w:p w14:paraId="367F9B34" w14:textId="47979CEB" w:rsidR="005B48A3" w:rsidRDefault="005B48A3" w:rsidP="00875A46">
      <w:pPr>
        <w:pStyle w:val="STNORMLN-2"/>
        <w:rPr>
          <w:rFonts w:cs="Segoe UI"/>
        </w:rPr>
      </w:pPr>
      <w:r>
        <w:rPr>
          <w:rFonts w:cs="Segoe UI"/>
        </w:rPr>
        <w:t xml:space="preserve">Vodovodní přípojka je navržena z potrubí polyethylenu PEHD 40X3,7 ve sklonu 46,3 </w:t>
      </w:r>
      <w:r>
        <w:rPr>
          <w:rFonts w:ascii="Arial" w:hAnsi="Arial" w:cs="Arial"/>
          <w:color w:val="222222"/>
          <w:sz w:val="21"/>
          <w:szCs w:val="21"/>
          <w:shd w:val="clear" w:color="auto" w:fill="FFFFFF"/>
        </w:rPr>
        <w:t xml:space="preserve">‰ od napojení na veřejní vodovodní řad po hranici pozemku/obvodovou stěnu. </w:t>
      </w:r>
      <w:r>
        <w:rPr>
          <w:rFonts w:cs="Segoe UI"/>
        </w:rPr>
        <w:t>Bude napojena na stávající vodovodní řád LT80 v ulici Havlíčkova.</w:t>
      </w:r>
      <w:r w:rsidR="00BD2D90">
        <w:rPr>
          <w:rFonts w:cs="Segoe UI"/>
        </w:rPr>
        <w:t xml:space="preserve"> Celková délka veřejné vodovodní přípojky je 10,8 m. </w:t>
      </w:r>
    </w:p>
    <w:p w14:paraId="5E7F325E" w14:textId="4B6F00F0" w:rsidR="00BD2D90" w:rsidRDefault="00BD2D90" w:rsidP="00875A46">
      <w:pPr>
        <w:pStyle w:val="STNORMLN-2"/>
        <w:rPr>
          <w:rFonts w:cs="Segoe UI"/>
        </w:rPr>
      </w:pPr>
      <w:r>
        <w:rPr>
          <w:rFonts w:cs="Segoe UI"/>
        </w:rPr>
        <w:t xml:space="preserve">Kanalizační přípojka veřejné části pro bytový dům je navržena z potrubí KT150, délky 11,0 m po revizní šachtu v suterénu objektu a ve sklonu 172,73 </w:t>
      </w:r>
      <w:r>
        <w:rPr>
          <w:rFonts w:ascii="Arial" w:hAnsi="Arial" w:cs="Arial"/>
          <w:color w:val="222222"/>
          <w:sz w:val="21"/>
          <w:szCs w:val="21"/>
          <w:shd w:val="clear" w:color="auto" w:fill="FFFFFF"/>
        </w:rPr>
        <w:t>‰.</w:t>
      </w:r>
    </w:p>
    <w:p w14:paraId="5C1702ED" w14:textId="22E6B43F" w:rsidR="004E62A9" w:rsidRPr="00B83ED2" w:rsidRDefault="00BD2D90" w:rsidP="00875A46">
      <w:pPr>
        <w:pStyle w:val="STNORMLN-2"/>
        <w:rPr>
          <w:rFonts w:cs="Segoe UI"/>
        </w:rPr>
      </w:pPr>
      <w:bookmarkStart w:id="261" w:name="_Hlk18416544"/>
      <w:r>
        <w:rPr>
          <w:rFonts w:cs="Segoe UI"/>
        </w:rPr>
        <w:t>P</w:t>
      </w:r>
      <w:r w:rsidR="004F6E97">
        <w:rPr>
          <w:rFonts w:cs="Segoe UI"/>
        </w:rPr>
        <w:t xml:space="preserve">řípojky </w:t>
      </w:r>
      <w:r>
        <w:rPr>
          <w:rFonts w:cs="Segoe UI"/>
        </w:rPr>
        <w:t xml:space="preserve">plynu a NN jsou </w:t>
      </w:r>
      <w:r w:rsidR="004F6E97">
        <w:rPr>
          <w:rFonts w:cs="Segoe UI"/>
        </w:rPr>
        <w:t xml:space="preserve">stávající, </w:t>
      </w:r>
      <w:bookmarkEnd w:id="261"/>
      <w:r w:rsidR="004F6E97">
        <w:rPr>
          <w:rFonts w:cs="Segoe UI"/>
        </w:rPr>
        <w:t xml:space="preserve">nebudou </w:t>
      </w:r>
      <w:r w:rsidR="00A84B42">
        <w:rPr>
          <w:rFonts w:cs="Segoe UI"/>
        </w:rPr>
        <w:t xml:space="preserve">prodlužovány </w:t>
      </w:r>
      <w:r w:rsidR="004F6E97">
        <w:rPr>
          <w:rFonts w:cs="Segoe UI"/>
        </w:rPr>
        <w:t>ani zkracovány</w:t>
      </w:r>
      <w:r w:rsidR="00A84B42">
        <w:rPr>
          <w:rFonts w:cs="Segoe UI"/>
        </w:rPr>
        <w:t>, nebude měněna jejich dimenze</w:t>
      </w:r>
      <w:r w:rsidR="004F6E97">
        <w:rPr>
          <w:rFonts w:cs="Segoe UI"/>
        </w:rPr>
        <w:t>.</w:t>
      </w:r>
      <w:r w:rsidR="00A84B42">
        <w:rPr>
          <w:rFonts w:cs="Segoe UI"/>
        </w:rPr>
        <w:t xml:space="preserve"> Nejsou známy žádné poruchy přípojek, budou-li při jejich obnažení zjištěny, budou přípojky opraveny.</w:t>
      </w:r>
    </w:p>
    <w:p w14:paraId="08296BCB" w14:textId="372298BB" w:rsidR="00F47319" w:rsidRPr="00B83ED2" w:rsidRDefault="00F47319" w:rsidP="002D5BF2">
      <w:pPr>
        <w:pStyle w:val="STNADPIS1"/>
      </w:pPr>
      <w:bookmarkStart w:id="262" w:name="_Toc18567070"/>
      <w:bookmarkStart w:id="263" w:name="_Toc24561608"/>
      <w:bookmarkStart w:id="264" w:name="_Toc24561713"/>
      <w:bookmarkStart w:id="265" w:name="_Toc24641067"/>
      <w:r w:rsidRPr="00B83ED2">
        <w:t>Dopravní řešení</w:t>
      </w:r>
      <w:bookmarkEnd w:id="262"/>
      <w:bookmarkEnd w:id="263"/>
      <w:bookmarkEnd w:id="264"/>
      <w:bookmarkEnd w:id="265"/>
    </w:p>
    <w:p w14:paraId="454A003F" w14:textId="31B6792C" w:rsidR="00F47319" w:rsidRPr="00B83ED2" w:rsidRDefault="00F47319" w:rsidP="002D5BF2">
      <w:pPr>
        <w:pStyle w:val="STodrkyabc"/>
      </w:pPr>
      <w:bookmarkStart w:id="266" w:name="_Toc24561609"/>
      <w:bookmarkStart w:id="267" w:name="_Toc24561714"/>
      <w:r w:rsidRPr="00B83ED2">
        <w:t xml:space="preserve">Popis dopravního řešení </w:t>
      </w:r>
      <w:r w:rsidR="007179AB" w:rsidRPr="00B83ED2">
        <w:t>včetně</w:t>
      </w:r>
      <w:r w:rsidRPr="00B83ED2">
        <w:t xml:space="preserve"> bezbariérových opatření pro</w:t>
      </w:r>
      <w:r w:rsidR="00A84B42">
        <w:t> </w:t>
      </w:r>
      <w:r w:rsidRPr="00B83ED2">
        <w:t>přístupnost a užívání stavby osobami se sníženou schopnosti pohybu nebo orientace</w:t>
      </w:r>
      <w:bookmarkEnd w:id="266"/>
      <w:bookmarkEnd w:id="267"/>
    </w:p>
    <w:p w14:paraId="74F205E3" w14:textId="01BFE39D" w:rsidR="00875A46" w:rsidRPr="00B83ED2" w:rsidRDefault="00875A46" w:rsidP="00875A46">
      <w:pPr>
        <w:pStyle w:val="STNORMLN-2"/>
        <w:rPr>
          <w:rFonts w:cs="Segoe UI"/>
        </w:rPr>
      </w:pPr>
      <w:commentRangeStart w:id="268"/>
      <w:r w:rsidRPr="00B83ED2">
        <w:rPr>
          <w:rFonts w:cs="Segoe UI"/>
        </w:rPr>
        <w:t xml:space="preserve">Ve smyslu vyhlášky č. 398/2009 sb. </w:t>
      </w:r>
      <w:r w:rsidR="004F6E97">
        <w:rPr>
          <w:rFonts w:cs="Segoe UI"/>
        </w:rPr>
        <w:t>je</w:t>
      </w:r>
      <w:r w:rsidRPr="00B83ED2">
        <w:rPr>
          <w:rFonts w:cs="Segoe UI"/>
        </w:rPr>
        <w:t xml:space="preserve"> zajištěn bezbariérový přístup</w:t>
      </w:r>
      <w:r w:rsidR="004F6E97">
        <w:rPr>
          <w:rFonts w:cs="Segoe UI"/>
        </w:rPr>
        <w:t xml:space="preserve"> k budově</w:t>
      </w:r>
      <w:r w:rsidRPr="00B83ED2">
        <w:rPr>
          <w:rFonts w:cs="Segoe UI"/>
        </w:rPr>
        <w:t xml:space="preserve"> ze sousedního pozemku Centra 83. </w:t>
      </w:r>
      <w:commentRangeEnd w:id="268"/>
      <w:r w:rsidR="00A84B42">
        <w:rPr>
          <w:rStyle w:val="Odkaznakoment"/>
          <w:rFonts w:asciiTheme="minorHAnsi" w:hAnsiTheme="minorHAnsi"/>
          <w:color w:val="auto"/>
        </w:rPr>
        <w:commentReference w:id="268"/>
      </w:r>
      <w:r w:rsidR="00BD2D90">
        <w:rPr>
          <w:rFonts w:cs="Segoe UI"/>
        </w:rPr>
        <w:t>Návrh tvoří součást SO 0601 Finální terénní úpravy.</w:t>
      </w:r>
    </w:p>
    <w:p w14:paraId="3D76A07A" w14:textId="196A304C" w:rsidR="00F47319" w:rsidRDefault="00F47319" w:rsidP="002D5BF2">
      <w:pPr>
        <w:pStyle w:val="STodrkyabc"/>
      </w:pPr>
      <w:bookmarkStart w:id="269" w:name="_Toc24561610"/>
      <w:bookmarkStart w:id="270" w:name="_Toc24561715"/>
      <w:r w:rsidRPr="00B83ED2">
        <w:t>Napojení území na stávající dopravní infrastrukturu</w:t>
      </w:r>
      <w:bookmarkEnd w:id="269"/>
      <w:bookmarkEnd w:id="270"/>
    </w:p>
    <w:p w14:paraId="19CB8C2F" w14:textId="639C4F52" w:rsidR="00F66AE8" w:rsidRPr="00B83ED2" w:rsidRDefault="00F66AE8" w:rsidP="00F66AE8">
      <w:pPr>
        <w:pStyle w:val="STNORMLN-2"/>
      </w:pPr>
      <w:r>
        <w:t xml:space="preserve">Vstup pro pěší zůstává stávající. Jsou navržené nové exteriérové schody pro vyrovnání výškového rozdílu mezi chodníkem a vstupem do budovy. </w:t>
      </w:r>
    </w:p>
    <w:p w14:paraId="162F0688" w14:textId="2AB36918" w:rsidR="00F47319" w:rsidRDefault="00F47319" w:rsidP="002D5BF2">
      <w:pPr>
        <w:pStyle w:val="STodrkyabc"/>
      </w:pPr>
      <w:bookmarkStart w:id="271" w:name="_Toc24561611"/>
      <w:bookmarkStart w:id="272" w:name="_Toc24561716"/>
      <w:r w:rsidRPr="00B83ED2">
        <w:t>Doprava v</w:t>
      </w:r>
      <w:r w:rsidR="00697240">
        <w:t> </w:t>
      </w:r>
      <w:r w:rsidRPr="00B83ED2">
        <w:t>klidu</w:t>
      </w:r>
      <w:bookmarkEnd w:id="271"/>
      <w:bookmarkEnd w:id="272"/>
    </w:p>
    <w:p w14:paraId="4768235E" w14:textId="7B4B5EB0" w:rsidR="00FD554A" w:rsidRPr="00A84B42" w:rsidRDefault="00697240" w:rsidP="00274243">
      <w:pPr>
        <w:pStyle w:val="STNORMLN-2"/>
        <w:rPr>
          <w:rFonts w:cs="Segoe UI"/>
        </w:rPr>
      </w:pPr>
      <w:r w:rsidRPr="00A84B42">
        <w:rPr>
          <w:rFonts w:cs="Segoe UI"/>
        </w:rPr>
        <w:t xml:space="preserve">Zabezpečení dopravy v klidu je </w:t>
      </w:r>
      <w:r w:rsidR="00A84B42">
        <w:rPr>
          <w:rFonts w:cs="Segoe UI"/>
        </w:rPr>
        <w:t xml:space="preserve">na pozemku stavby </w:t>
      </w:r>
      <w:r w:rsidR="00FD554A" w:rsidRPr="00A84B42">
        <w:rPr>
          <w:rFonts w:cs="Segoe UI"/>
        </w:rPr>
        <w:t>obtížn</w:t>
      </w:r>
      <w:r w:rsidR="00A84B42">
        <w:rPr>
          <w:rFonts w:cs="Segoe UI"/>
        </w:rPr>
        <w:t>ě realizovatelné</w:t>
      </w:r>
      <w:r w:rsidR="00FD554A" w:rsidRPr="00A84B42">
        <w:rPr>
          <w:rFonts w:cs="Segoe UI"/>
        </w:rPr>
        <w:t>,</w:t>
      </w:r>
      <w:r w:rsidRPr="00A84B42">
        <w:rPr>
          <w:rFonts w:cs="Segoe UI"/>
        </w:rPr>
        <w:t xml:space="preserve"> </w:t>
      </w:r>
      <w:r w:rsidR="00A84B42">
        <w:rPr>
          <w:rFonts w:cs="Segoe UI"/>
        </w:rPr>
        <w:t>pro provoz objektu není přímo potřeba. Pro návštěvy klientů</w:t>
      </w:r>
      <w:r w:rsidRPr="00A84B42">
        <w:rPr>
          <w:rFonts w:cs="Segoe UI"/>
        </w:rPr>
        <w:t xml:space="preserve"> bud</w:t>
      </w:r>
      <w:r w:rsidR="00FD554A" w:rsidRPr="00A84B42">
        <w:rPr>
          <w:rFonts w:cs="Segoe UI"/>
        </w:rPr>
        <w:t>ou</w:t>
      </w:r>
      <w:r w:rsidRPr="00A84B42">
        <w:rPr>
          <w:rFonts w:cs="Segoe UI"/>
        </w:rPr>
        <w:t xml:space="preserve"> </w:t>
      </w:r>
      <w:r w:rsidR="00A84B42">
        <w:rPr>
          <w:rFonts w:cs="Segoe UI"/>
        </w:rPr>
        <w:t xml:space="preserve">k dispozici </w:t>
      </w:r>
      <w:r w:rsidRPr="00A84B42">
        <w:rPr>
          <w:rFonts w:cs="Segoe UI"/>
        </w:rPr>
        <w:t xml:space="preserve">parkovací plochy </w:t>
      </w:r>
      <w:r w:rsidR="00FD554A" w:rsidRPr="00A84B42">
        <w:rPr>
          <w:rFonts w:cs="Segoe UI"/>
        </w:rPr>
        <w:t xml:space="preserve">sousedního </w:t>
      </w:r>
      <w:r w:rsidRPr="00A84B42">
        <w:rPr>
          <w:rFonts w:cs="Segoe UI"/>
        </w:rPr>
        <w:t>Centra 83</w:t>
      </w:r>
      <w:r w:rsidR="00FD554A" w:rsidRPr="00A84B42">
        <w:rPr>
          <w:rFonts w:cs="Segoe UI"/>
        </w:rPr>
        <w:t xml:space="preserve">, </w:t>
      </w:r>
      <w:r w:rsidR="00A84B42">
        <w:rPr>
          <w:rFonts w:cs="Segoe UI"/>
        </w:rPr>
        <w:t xml:space="preserve">jehož provozovatel je současně provozovatelem </w:t>
      </w:r>
      <w:r w:rsidR="001D5179">
        <w:rPr>
          <w:rFonts w:cs="Segoe UI"/>
        </w:rPr>
        <w:t>domova pro autisty. Také zásobování domova bude realizováno ze strany Centra 83</w:t>
      </w:r>
      <w:r w:rsidR="00FD554A" w:rsidRPr="00A84B42">
        <w:rPr>
          <w:rFonts w:cs="Segoe UI"/>
        </w:rPr>
        <w:t>.</w:t>
      </w:r>
      <w:r w:rsidR="00BC1CE3">
        <w:rPr>
          <w:rFonts w:cs="Segoe UI"/>
        </w:rPr>
        <w:t xml:space="preserve"> Dohoda o užívání parkovacích míst a povolení vstupu na pozemek Centra 83 je doložen v části </w:t>
      </w:r>
      <w:proofErr w:type="gramStart"/>
      <w:r w:rsidR="00BC1CE3">
        <w:rPr>
          <w:rFonts w:cs="Segoe UI"/>
        </w:rPr>
        <w:t>00E- Dokladová</w:t>
      </w:r>
      <w:proofErr w:type="gramEnd"/>
      <w:r w:rsidR="00BC1CE3">
        <w:rPr>
          <w:rFonts w:cs="Segoe UI"/>
        </w:rPr>
        <w:t xml:space="preserve"> část. </w:t>
      </w:r>
    </w:p>
    <w:p w14:paraId="311683A6" w14:textId="6254298E" w:rsidR="00B74BC0" w:rsidRPr="002B79F9" w:rsidRDefault="007179AB" w:rsidP="002D5BF2">
      <w:pPr>
        <w:pStyle w:val="STNADPIS1"/>
      </w:pPr>
      <w:bookmarkStart w:id="273" w:name="_Toc18567071"/>
      <w:bookmarkStart w:id="274" w:name="_Toc24561612"/>
      <w:bookmarkStart w:id="275" w:name="_Toc24561717"/>
      <w:bookmarkStart w:id="276" w:name="_Toc24641068"/>
      <w:r w:rsidRPr="002B79F9">
        <w:t>Řešení vegetace a souvisejících terénních úprav</w:t>
      </w:r>
      <w:bookmarkEnd w:id="273"/>
      <w:bookmarkEnd w:id="274"/>
      <w:bookmarkEnd w:id="275"/>
      <w:bookmarkEnd w:id="276"/>
    </w:p>
    <w:p w14:paraId="28BD3A20" w14:textId="6315A1E7" w:rsidR="00B447B2" w:rsidRDefault="00B447B2" w:rsidP="00D24B22">
      <w:pPr>
        <w:pStyle w:val="STNORMLN-2"/>
        <w:rPr>
          <w:rFonts w:cs="Segoe UI"/>
        </w:rPr>
      </w:pPr>
      <w:r>
        <w:rPr>
          <w:rFonts w:cs="Segoe UI"/>
        </w:rPr>
        <w:t>Navrhovaná stavba z části respektuje topologii terénu, proto budou prováděny jen nezbytné vyrovnávací terénní úpravy. Plochy budou vyčištěny od stavebního odpadu</w:t>
      </w:r>
      <w:r w:rsidR="000B3A1F">
        <w:rPr>
          <w:rFonts w:cs="Segoe UI"/>
        </w:rPr>
        <w:t>. Terénní úpravy budou součástí stavebního objektu SO 0601 Finální terénní úpravy.</w:t>
      </w:r>
    </w:p>
    <w:p w14:paraId="51CB1BEE" w14:textId="7FB3ED75" w:rsidR="00D24B22" w:rsidRDefault="00D24B22" w:rsidP="00D24B22">
      <w:pPr>
        <w:pStyle w:val="STNORMLN-2"/>
        <w:rPr>
          <w:rFonts w:cs="Segoe UI"/>
        </w:rPr>
      </w:pPr>
      <w:r w:rsidRPr="00B83ED2">
        <w:rPr>
          <w:rFonts w:cs="Segoe UI"/>
        </w:rPr>
        <w:t xml:space="preserve">Zemní práce </w:t>
      </w:r>
      <w:r w:rsidR="002B79F9">
        <w:rPr>
          <w:rFonts w:cs="Segoe UI"/>
        </w:rPr>
        <w:t>se provedou</w:t>
      </w:r>
      <w:r w:rsidRPr="00B83ED2">
        <w:rPr>
          <w:rFonts w:cs="Segoe UI"/>
        </w:rPr>
        <w:t xml:space="preserve"> v souladu s ČSN 18915 Práce s půdou. </w:t>
      </w:r>
      <w:r w:rsidR="000674D0">
        <w:rPr>
          <w:rFonts w:cs="Segoe UI"/>
        </w:rPr>
        <w:t xml:space="preserve">Část zeminy </w:t>
      </w:r>
      <w:r w:rsidRPr="00B83ED2">
        <w:rPr>
          <w:rFonts w:cs="Segoe UI"/>
        </w:rPr>
        <w:t>získaná při</w:t>
      </w:r>
      <w:r w:rsidR="00410B50">
        <w:rPr>
          <w:rFonts w:cs="Segoe UI"/>
        </w:rPr>
        <w:t> </w:t>
      </w:r>
      <w:r w:rsidRPr="00B83ED2">
        <w:rPr>
          <w:rFonts w:cs="Segoe UI"/>
        </w:rPr>
        <w:t>odkopávkách terénu a výkopech bude využita na místě</w:t>
      </w:r>
      <w:r w:rsidR="000674D0">
        <w:rPr>
          <w:rFonts w:cs="Segoe UI"/>
        </w:rPr>
        <w:t>, zbytek se odveze na skládku</w:t>
      </w:r>
      <w:r w:rsidRPr="00B83ED2">
        <w:rPr>
          <w:rFonts w:cs="Segoe UI"/>
        </w:rPr>
        <w:t>.</w:t>
      </w:r>
      <w:r w:rsidR="00964669" w:rsidRPr="00B83ED2">
        <w:rPr>
          <w:rFonts w:cs="Segoe UI"/>
        </w:rPr>
        <w:t xml:space="preserve"> </w:t>
      </w:r>
      <w:r w:rsidR="00964669" w:rsidRPr="00822DE8">
        <w:rPr>
          <w:rFonts w:cs="Segoe UI"/>
        </w:rPr>
        <w:t>Součástí terénních úprav bud</w:t>
      </w:r>
      <w:r w:rsidR="000674D0" w:rsidRPr="00822DE8">
        <w:rPr>
          <w:rFonts w:cs="Segoe UI"/>
        </w:rPr>
        <w:t>e</w:t>
      </w:r>
      <w:r w:rsidR="00964669" w:rsidRPr="00822DE8">
        <w:rPr>
          <w:rFonts w:cs="Segoe UI"/>
        </w:rPr>
        <w:t xml:space="preserve"> </w:t>
      </w:r>
      <w:r w:rsidR="002B79F9">
        <w:rPr>
          <w:rFonts w:cs="Segoe UI"/>
        </w:rPr>
        <w:t>i nový chodník</w:t>
      </w:r>
      <w:r w:rsidR="00964669" w:rsidRPr="00822DE8">
        <w:rPr>
          <w:rFonts w:cs="Segoe UI"/>
        </w:rPr>
        <w:t xml:space="preserve">, </w:t>
      </w:r>
      <w:r w:rsidR="000674D0" w:rsidRPr="00800715">
        <w:rPr>
          <w:rFonts w:cs="Segoe UI"/>
        </w:rPr>
        <w:t>je</w:t>
      </w:r>
      <w:r w:rsidR="000B3A1F">
        <w:rPr>
          <w:rFonts w:cs="Segoe UI"/>
        </w:rPr>
        <w:t>ho</w:t>
      </w:r>
      <w:r w:rsidR="000674D0" w:rsidRPr="00800715">
        <w:rPr>
          <w:rFonts w:cs="Segoe UI"/>
        </w:rPr>
        <w:t xml:space="preserve"> </w:t>
      </w:r>
      <w:r w:rsidR="00964669" w:rsidRPr="00270202">
        <w:rPr>
          <w:rFonts w:cs="Segoe UI"/>
        </w:rPr>
        <w:t xml:space="preserve">řešení </w:t>
      </w:r>
      <w:r w:rsidR="000674D0" w:rsidRPr="0068741B">
        <w:rPr>
          <w:rFonts w:cs="Segoe UI"/>
        </w:rPr>
        <w:t>je patrné z výkresové části</w:t>
      </w:r>
      <w:r w:rsidR="002B79F9">
        <w:rPr>
          <w:rFonts w:cs="Segoe UI"/>
        </w:rPr>
        <w:t xml:space="preserve"> a má za úkol vytvořit zpevněnou cestu pro bezbariérový přístup do objektu</w:t>
      </w:r>
      <w:r w:rsidR="000674D0" w:rsidRPr="0068741B">
        <w:rPr>
          <w:rFonts w:cs="Segoe UI"/>
        </w:rPr>
        <w:t>.</w:t>
      </w:r>
    </w:p>
    <w:p w14:paraId="3A25746A" w14:textId="28C3B02C" w:rsidR="00410B50" w:rsidRDefault="002B79F9" w:rsidP="00D24B22">
      <w:pPr>
        <w:pStyle w:val="STNORMLN-2"/>
        <w:rPr>
          <w:rFonts w:cs="Segoe UI"/>
        </w:rPr>
      </w:pPr>
      <w:r>
        <w:rPr>
          <w:rFonts w:cs="Segoe UI"/>
        </w:rPr>
        <w:t xml:space="preserve">Dalším obsahem objektu je </w:t>
      </w:r>
      <w:r w:rsidR="00410B50">
        <w:rPr>
          <w:rFonts w:cs="Segoe UI"/>
        </w:rPr>
        <w:t xml:space="preserve">oprava chodníku v ulici Havlíčkova po odkopávkách </w:t>
      </w:r>
      <w:r>
        <w:rPr>
          <w:rFonts w:cs="Segoe UI"/>
        </w:rPr>
        <w:t xml:space="preserve">kolem </w:t>
      </w:r>
      <w:r w:rsidR="00410B50">
        <w:rPr>
          <w:rFonts w:cs="Segoe UI"/>
        </w:rPr>
        <w:t xml:space="preserve">objektu </w:t>
      </w:r>
      <w:r>
        <w:rPr>
          <w:rFonts w:cs="Segoe UI"/>
        </w:rPr>
        <w:t>při sanaci zemní vlhkosti,</w:t>
      </w:r>
      <w:r w:rsidR="00410B50">
        <w:rPr>
          <w:rFonts w:cs="Segoe UI"/>
        </w:rPr>
        <w:t xml:space="preserve"> vybourání vjezdových vrat do garáží</w:t>
      </w:r>
      <w:r>
        <w:rPr>
          <w:rFonts w:cs="Segoe UI"/>
        </w:rPr>
        <w:t xml:space="preserve"> a překop pro výměnu přípojek na technickou infrastrukturu.</w:t>
      </w:r>
      <w:r w:rsidR="00410B50">
        <w:rPr>
          <w:rFonts w:cs="Segoe UI"/>
        </w:rPr>
        <w:t xml:space="preserve"> Chodník bude proveden ve shodné skladbě jako jeho stávající navazující části, bude opravena </w:t>
      </w:r>
      <w:r w:rsidR="000D2EF5">
        <w:rPr>
          <w:rFonts w:cs="Segoe UI"/>
        </w:rPr>
        <w:t xml:space="preserve">a vyrovnána snížená </w:t>
      </w:r>
      <w:r w:rsidR="00410B50">
        <w:rPr>
          <w:rFonts w:cs="Segoe UI"/>
        </w:rPr>
        <w:t xml:space="preserve">obruba </w:t>
      </w:r>
      <w:r w:rsidR="000D2EF5">
        <w:rPr>
          <w:rFonts w:cs="Segoe UI"/>
        </w:rPr>
        <w:t xml:space="preserve">původně tvořící umožnění vjezdu do garáží z </w:t>
      </w:r>
      <w:r w:rsidR="00410B50">
        <w:rPr>
          <w:rFonts w:cs="Segoe UI"/>
        </w:rPr>
        <w:t>navazující místní komunikace.</w:t>
      </w:r>
    </w:p>
    <w:p w14:paraId="3EA4F64B" w14:textId="1E04380B" w:rsidR="00E72D8F" w:rsidRPr="00B83ED2" w:rsidRDefault="00410B50" w:rsidP="00D24B22">
      <w:pPr>
        <w:pStyle w:val="STNORMLN-2"/>
        <w:rPr>
          <w:rFonts w:cs="Segoe UI"/>
        </w:rPr>
      </w:pPr>
      <w:r>
        <w:rPr>
          <w:rFonts w:cs="Segoe UI"/>
        </w:rPr>
        <w:t xml:space="preserve">Na pozemku stavby jsou přítomny ovocné i okrasné stromy, keře a rostliny. Ovocné stromy budou vzhledem k jejich stavu pokáceny včetně odstranění kořenových systémů, </w:t>
      </w:r>
      <w:bookmarkStart w:id="277" w:name="_Hlk18423805"/>
      <w:r w:rsidR="000D2EF5">
        <w:rPr>
          <w:rFonts w:cs="Segoe UI"/>
        </w:rPr>
        <w:t xml:space="preserve">přesaditelné </w:t>
      </w:r>
      <w:r>
        <w:rPr>
          <w:rFonts w:cs="Segoe UI"/>
        </w:rPr>
        <w:t>okrasné dřeviny budou pře</w:t>
      </w:r>
      <w:r w:rsidR="000D2EF5">
        <w:rPr>
          <w:rFonts w:cs="Segoe UI"/>
        </w:rPr>
        <w:t>místěny v</w:t>
      </w:r>
      <w:r>
        <w:rPr>
          <w:rFonts w:cs="Segoe UI"/>
        </w:rPr>
        <w:t> rámci zahrady a doplněny vhodným okrasným porostem</w:t>
      </w:r>
      <w:bookmarkEnd w:id="277"/>
      <w:r>
        <w:rPr>
          <w:rFonts w:cs="Segoe UI"/>
        </w:rPr>
        <w:t xml:space="preserve">. </w:t>
      </w:r>
      <w:bookmarkStart w:id="278" w:name="_Hlk18423830"/>
      <w:r>
        <w:rPr>
          <w:rFonts w:cs="Segoe UI"/>
        </w:rPr>
        <w:t>Volné plochy zahrady budou zatravněny.</w:t>
      </w:r>
    </w:p>
    <w:p w14:paraId="346C4F26" w14:textId="41D8BAC0" w:rsidR="007179AB" w:rsidRPr="00B83ED2" w:rsidRDefault="007179AB" w:rsidP="002D5BF2">
      <w:pPr>
        <w:pStyle w:val="STNADPIS1"/>
      </w:pPr>
      <w:bookmarkStart w:id="279" w:name="_Toc18567072"/>
      <w:bookmarkStart w:id="280" w:name="_Toc24561613"/>
      <w:bookmarkStart w:id="281" w:name="_Toc24561718"/>
      <w:bookmarkStart w:id="282" w:name="_Toc24641069"/>
      <w:bookmarkEnd w:id="278"/>
      <w:r w:rsidRPr="00B83ED2">
        <w:t>Popis vlivů stavby na životní prostředí a jeho ochrana</w:t>
      </w:r>
      <w:bookmarkEnd w:id="279"/>
      <w:bookmarkEnd w:id="280"/>
      <w:bookmarkEnd w:id="281"/>
      <w:bookmarkEnd w:id="282"/>
    </w:p>
    <w:p w14:paraId="32812E71" w14:textId="5FABD16D" w:rsidR="00964669" w:rsidRPr="00B83ED2" w:rsidRDefault="000674D0" w:rsidP="00964669">
      <w:pPr>
        <w:pStyle w:val="STNORMLN-2"/>
        <w:rPr>
          <w:rFonts w:cs="Segoe UI"/>
        </w:rPr>
      </w:pPr>
      <w:r>
        <w:rPr>
          <w:rFonts w:cs="Segoe UI"/>
        </w:rPr>
        <w:t xml:space="preserve">Při </w:t>
      </w:r>
      <w:r w:rsidR="00410B50">
        <w:rPr>
          <w:rFonts w:cs="Segoe UI"/>
        </w:rPr>
        <w:t>r</w:t>
      </w:r>
      <w:r w:rsidR="00410B50" w:rsidRPr="00B83ED2">
        <w:rPr>
          <w:rFonts w:cs="Segoe UI"/>
        </w:rPr>
        <w:t>ealizac</w:t>
      </w:r>
      <w:r w:rsidR="00410B50">
        <w:rPr>
          <w:rFonts w:cs="Segoe UI"/>
        </w:rPr>
        <w:t>i</w:t>
      </w:r>
      <w:r w:rsidR="00410B50" w:rsidRPr="00B83ED2">
        <w:rPr>
          <w:rFonts w:cs="Segoe UI"/>
        </w:rPr>
        <w:t xml:space="preserve"> </w:t>
      </w:r>
      <w:r w:rsidR="00964669" w:rsidRPr="00B83ED2">
        <w:rPr>
          <w:rFonts w:cs="Segoe UI"/>
        </w:rPr>
        <w:t>stavby nedojde ke zhoršení životního prostředí v dané oblasti. Ve smyslu zákona č.</w:t>
      </w:r>
      <w:r w:rsidR="00410B50">
        <w:rPr>
          <w:rFonts w:cs="Segoe UI"/>
        </w:rPr>
        <w:t> </w:t>
      </w:r>
      <w:r w:rsidR="00964669" w:rsidRPr="00B83ED2">
        <w:rPr>
          <w:rFonts w:cs="Segoe UI"/>
        </w:rPr>
        <w:t xml:space="preserve">244/1992 Sb. stavba nepodléhá hodnocení vlivu na životní </w:t>
      </w:r>
      <w:r w:rsidR="000B3A1F" w:rsidRPr="00B83ED2">
        <w:rPr>
          <w:rFonts w:cs="Segoe UI"/>
        </w:rPr>
        <w:t>prostředí,</w:t>
      </w:r>
      <w:r>
        <w:rPr>
          <w:rFonts w:cs="Segoe UI"/>
        </w:rPr>
        <w:t xml:space="preserve"> a </w:t>
      </w:r>
      <w:r w:rsidR="00410B50">
        <w:rPr>
          <w:rFonts w:cs="Segoe UI"/>
        </w:rPr>
        <w:t>tudíž</w:t>
      </w:r>
      <w:r w:rsidR="00410B50" w:rsidRPr="00B83ED2">
        <w:rPr>
          <w:rFonts w:cs="Segoe UI"/>
        </w:rPr>
        <w:t xml:space="preserve"> </w:t>
      </w:r>
      <w:r w:rsidR="00964669" w:rsidRPr="00B83ED2">
        <w:rPr>
          <w:rFonts w:cs="Segoe UI"/>
        </w:rPr>
        <w:t>nevyžaduje hodnocení vlivu na životní prostředí dle Zák. 100/2001 Sb.</w:t>
      </w:r>
    </w:p>
    <w:p w14:paraId="30D8FCC9" w14:textId="62FFC077" w:rsidR="007179AB" w:rsidRPr="00B83ED2" w:rsidRDefault="007179AB" w:rsidP="002D5BF2">
      <w:pPr>
        <w:pStyle w:val="STodrkyabc"/>
        <w:numPr>
          <w:ilvl w:val="0"/>
          <w:numId w:val="33"/>
        </w:numPr>
      </w:pPr>
      <w:bookmarkStart w:id="283" w:name="_Toc24561614"/>
      <w:bookmarkStart w:id="284" w:name="_Toc24561719"/>
      <w:r w:rsidRPr="00B83ED2">
        <w:t>Vliv na životní prostředí – ovzduší, hluk, voda, odpady a půda</w:t>
      </w:r>
      <w:bookmarkEnd w:id="283"/>
      <w:bookmarkEnd w:id="284"/>
    </w:p>
    <w:p w14:paraId="08878999" w14:textId="3349DA49" w:rsidR="00964669" w:rsidRPr="004E62A9" w:rsidRDefault="00964669" w:rsidP="004E62A9">
      <w:pPr>
        <w:pStyle w:val="STNORMLN-2"/>
      </w:pPr>
      <w:bookmarkStart w:id="285" w:name="_Hlk18416671"/>
      <w:r w:rsidRPr="00B83ED2">
        <w:t xml:space="preserve">Provoz objektu nevyvolá negativní vlivy na životní prostředí. Zdrojem tepla bude nástěnný kondenzační kotel osazený na zdi v technické místnosti </w:t>
      </w:r>
      <w:r w:rsidR="00410B50">
        <w:t>v</w:t>
      </w:r>
      <w:r w:rsidR="00410B50" w:rsidRPr="00B83ED2">
        <w:t xml:space="preserve"> </w:t>
      </w:r>
      <w:r w:rsidRPr="00B83ED2">
        <w:t xml:space="preserve">přízemí. Palivo bude zemní plyn. </w:t>
      </w:r>
      <w:r w:rsidR="00036C57" w:rsidRPr="00041ABB">
        <w:t>Odtah spalin a přívod spalovacího vzduchu bude proveden pomocí koaxiálního</w:t>
      </w:r>
      <w:r w:rsidR="00036C57">
        <w:t xml:space="preserve"> </w:t>
      </w:r>
      <w:r w:rsidR="00036C57" w:rsidRPr="00041ABB">
        <w:t xml:space="preserve">potrubí </w:t>
      </w:r>
      <w:r w:rsidR="00036C57">
        <w:br/>
      </w:r>
      <w:r w:rsidR="00036C57" w:rsidRPr="00041ABB">
        <w:t>o průměru 60/100 mm. Potrubí bude vedeno od kotle do komínového průduchu a vevedeno nad střechu</w:t>
      </w:r>
      <w:r w:rsidR="00036C57">
        <w:t xml:space="preserve"> </w:t>
      </w:r>
      <w:r w:rsidR="00036C57" w:rsidRPr="00041ABB">
        <w:t>objektu, kde bude ukončeno pomocí střešní hlavice.</w:t>
      </w:r>
    </w:p>
    <w:bookmarkEnd w:id="285"/>
    <w:p w14:paraId="74078BB0" w14:textId="5F635E35" w:rsidR="00964669" w:rsidRPr="00B83ED2" w:rsidRDefault="00AF5D80" w:rsidP="00964669">
      <w:pPr>
        <w:pStyle w:val="STNORMLN-2"/>
        <w:rPr>
          <w:rFonts w:cs="Segoe UI"/>
        </w:rPr>
      </w:pPr>
      <w:r>
        <w:rPr>
          <w:rFonts w:cs="Segoe UI"/>
        </w:rPr>
        <w:t xml:space="preserve">Prostory </w:t>
      </w:r>
      <w:r w:rsidR="00F03471" w:rsidRPr="00F03471">
        <w:rPr>
          <w:rFonts w:cs="Segoe UI"/>
        </w:rPr>
        <w:t>budou vybavené nuceným větráním. Vyústky budou umístěny v podhledu.</w:t>
      </w:r>
      <w:r w:rsidR="00F03471">
        <w:rPr>
          <w:rFonts w:cs="Segoe UI"/>
        </w:rPr>
        <w:t xml:space="preserve"> </w:t>
      </w:r>
    </w:p>
    <w:p w14:paraId="5CEA22C8" w14:textId="0EE73272" w:rsidR="00964669" w:rsidRPr="00B83ED2" w:rsidRDefault="00964669" w:rsidP="00964669">
      <w:pPr>
        <w:pStyle w:val="STNORMLN-2"/>
        <w:rPr>
          <w:rFonts w:cs="Segoe UI"/>
        </w:rPr>
      </w:pPr>
      <w:r w:rsidRPr="00B83ED2">
        <w:rPr>
          <w:rFonts w:cs="Segoe UI"/>
        </w:rPr>
        <w:t>Ve smyslu zákona č.254/2001 Sb., o vodách (vodní zákon) §5, odst. (3) budou dešťové vody likvidovány na pozemku investora. Ve smyslu aktuálních požadavků pro likvidaci dešťových vod bude zřízen vsakovací objekt v podobě vsakovacích boxů.</w:t>
      </w:r>
    </w:p>
    <w:p w14:paraId="6FBDBC35" w14:textId="3347EE6C" w:rsidR="00964669" w:rsidRDefault="00964669" w:rsidP="00964669">
      <w:pPr>
        <w:pStyle w:val="STNORMLN-2"/>
        <w:rPr>
          <w:rFonts w:cs="Segoe UI"/>
        </w:rPr>
      </w:pPr>
      <w:r w:rsidRPr="000674D0">
        <w:rPr>
          <w:rFonts w:cs="Segoe UI"/>
        </w:rPr>
        <w:t>Odvoz komunálního odpadu bude smluvně zajištěn oprávněnou firmou, předpokládá se tříděný odpad.</w:t>
      </w:r>
    </w:p>
    <w:p w14:paraId="1A0B8935" w14:textId="69927F25" w:rsidR="007179AB" w:rsidRPr="00B83ED2" w:rsidRDefault="007179AB" w:rsidP="002D5BF2">
      <w:pPr>
        <w:pStyle w:val="STodrkyabc"/>
      </w:pPr>
      <w:bookmarkStart w:id="286" w:name="_Toc14187854"/>
      <w:bookmarkStart w:id="287" w:name="_Toc14257822"/>
      <w:bookmarkStart w:id="288" w:name="_Toc14335677"/>
      <w:bookmarkStart w:id="289" w:name="_Toc14445690"/>
      <w:bookmarkStart w:id="290" w:name="_Toc14187855"/>
      <w:bookmarkStart w:id="291" w:name="_Toc14257823"/>
      <w:bookmarkStart w:id="292" w:name="_Toc14335678"/>
      <w:bookmarkStart w:id="293" w:name="_Toc14445691"/>
      <w:bookmarkStart w:id="294" w:name="_Toc24561615"/>
      <w:bookmarkStart w:id="295" w:name="_Toc24561720"/>
      <w:bookmarkEnd w:id="286"/>
      <w:bookmarkEnd w:id="287"/>
      <w:bookmarkEnd w:id="288"/>
      <w:bookmarkEnd w:id="289"/>
      <w:bookmarkEnd w:id="290"/>
      <w:bookmarkEnd w:id="291"/>
      <w:bookmarkEnd w:id="292"/>
      <w:bookmarkEnd w:id="293"/>
      <w:r w:rsidRPr="00B83ED2">
        <w:t xml:space="preserve">Vliv na přírodu a krajinu (ochrana dřevin, ochrana </w:t>
      </w:r>
      <w:r w:rsidR="00AC56BC" w:rsidRPr="00B83ED2">
        <w:t>památn</w:t>
      </w:r>
      <w:r w:rsidR="00AC56BC">
        <w:t>ý</w:t>
      </w:r>
      <w:r w:rsidR="00AC56BC" w:rsidRPr="00B83ED2">
        <w:t xml:space="preserve">ch </w:t>
      </w:r>
      <w:r w:rsidRPr="00B83ED2">
        <w:t>stromů, ochrana rostlin a živočichů, zachování ekologických funkcí a vazeb v krajině apod.)</w:t>
      </w:r>
      <w:bookmarkEnd w:id="294"/>
      <w:bookmarkEnd w:id="295"/>
    </w:p>
    <w:p w14:paraId="1441A93F" w14:textId="4069DFF6" w:rsidR="00964669" w:rsidRPr="00B83ED2" w:rsidRDefault="00964669" w:rsidP="00964669">
      <w:pPr>
        <w:pStyle w:val="STNORMLN-2"/>
        <w:rPr>
          <w:rFonts w:cs="Segoe UI"/>
        </w:rPr>
      </w:pPr>
      <w:r w:rsidRPr="00B83ED2">
        <w:rPr>
          <w:rFonts w:cs="Segoe UI"/>
        </w:rPr>
        <w:t>Zájmová lokalita není součástí zvláště chráněných území a ostatních území chráněných zvláštními předpisy o ochraně přírody a krajiny, ani chráněných ložiskových území.</w:t>
      </w:r>
    </w:p>
    <w:p w14:paraId="476E2E7B" w14:textId="048E2D95" w:rsidR="007179AB" w:rsidRPr="00B83ED2" w:rsidRDefault="007179AB" w:rsidP="002D5BF2">
      <w:pPr>
        <w:pStyle w:val="STodrkyabc"/>
      </w:pPr>
      <w:bookmarkStart w:id="296" w:name="_Toc24561616"/>
      <w:bookmarkStart w:id="297" w:name="_Toc24561721"/>
      <w:r w:rsidRPr="00B83ED2">
        <w:t>Vliv na soustavu chráněných území Natura 2000</w:t>
      </w:r>
      <w:bookmarkEnd w:id="296"/>
      <w:bookmarkEnd w:id="297"/>
    </w:p>
    <w:p w14:paraId="5D7769BF" w14:textId="40A75136" w:rsidR="00C95A9B" w:rsidRDefault="00C95A9B" w:rsidP="00C95A9B">
      <w:pPr>
        <w:pStyle w:val="STNORMLN-2"/>
        <w:rPr>
          <w:rFonts w:cs="Segoe UI"/>
        </w:rPr>
      </w:pPr>
      <w:r w:rsidRPr="00B83ED2">
        <w:rPr>
          <w:rFonts w:cs="Segoe UI"/>
        </w:rPr>
        <w:t>Zájmová lokalita není součástí zvláště chráněných území Natura 2000.</w:t>
      </w:r>
    </w:p>
    <w:p w14:paraId="213317F2" w14:textId="4D050B79" w:rsidR="007179AB" w:rsidRPr="00B83ED2" w:rsidRDefault="007179AB" w:rsidP="002D5BF2">
      <w:pPr>
        <w:pStyle w:val="STodrkyabc"/>
      </w:pPr>
      <w:bookmarkStart w:id="298" w:name="_Toc24561617"/>
      <w:bookmarkStart w:id="299" w:name="_Toc24561722"/>
      <w:r w:rsidRPr="00B83ED2">
        <w:t>Způsob zohlednění podmínek závazného stanoviska posouzení vlivu záměru na životní prostředí, je-li podkladem</w:t>
      </w:r>
      <w:bookmarkEnd w:id="298"/>
      <w:bookmarkEnd w:id="299"/>
    </w:p>
    <w:p w14:paraId="5595FFD1" w14:textId="4FD7423B" w:rsidR="00326797" w:rsidRPr="00B83ED2" w:rsidRDefault="00326797" w:rsidP="00326797">
      <w:pPr>
        <w:pStyle w:val="STNORMLN-2"/>
        <w:rPr>
          <w:rFonts w:cs="Segoe UI"/>
        </w:rPr>
      </w:pPr>
      <w:r w:rsidRPr="00B83ED2">
        <w:rPr>
          <w:rFonts w:cs="Segoe UI"/>
        </w:rPr>
        <w:t>Toto stanovisko není podkladem.</w:t>
      </w:r>
    </w:p>
    <w:p w14:paraId="59BFE305" w14:textId="38C1BE1A" w:rsidR="007179AB" w:rsidRPr="00B83ED2" w:rsidRDefault="007179AB" w:rsidP="002D5BF2">
      <w:pPr>
        <w:pStyle w:val="STodrkyabc"/>
      </w:pPr>
      <w:bookmarkStart w:id="300" w:name="_Toc24561618"/>
      <w:bookmarkStart w:id="301" w:name="_Toc24561723"/>
      <w:r w:rsidRPr="00B83ED2">
        <w:t xml:space="preserve">V případě záměrů, spadajících do režimu zákona o integrované prevenci, základní parametry způsobu </w:t>
      </w:r>
      <w:r w:rsidR="002305ED" w:rsidRPr="00B83ED2">
        <w:t>naplnění závěrů</w:t>
      </w:r>
      <w:r w:rsidRPr="00B83ED2">
        <w:t xml:space="preserve"> o</w:t>
      </w:r>
      <w:r w:rsidR="00AC56BC">
        <w:t> </w:t>
      </w:r>
      <w:r w:rsidRPr="00B83ED2">
        <w:t xml:space="preserve">nejlepších dostupných technikách nebo integrované povolení, </w:t>
      </w:r>
      <w:r w:rsidR="002305ED" w:rsidRPr="00B83ED2">
        <w:t>bylo-li</w:t>
      </w:r>
      <w:r w:rsidRPr="00B83ED2">
        <w:t xml:space="preserve"> vydáno</w:t>
      </w:r>
      <w:bookmarkEnd w:id="300"/>
      <w:bookmarkEnd w:id="301"/>
    </w:p>
    <w:p w14:paraId="049C66DD" w14:textId="0E844A92" w:rsidR="00326797" w:rsidRPr="00B83ED2" w:rsidRDefault="00326797" w:rsidP="00326797">
      <w:pPr>
        <w:pStyle w:val="STNORMLN-2"/>
        <w:rPr>
          <w:rFonts w:cs="Segoe UI"/>
        </w:rPr>
      </w:pPr>
      <w:r w:rsidRPr="00B83ED2">
        <w:rPr>
          <w:rFonts w:cs="Segoe UI"/>
        </w:rPr>
        <w:t>Nebylo vydáno.</w:t>
      </w:r>
    </w:p>
    <w:p w14:paraId="6F11A408" w14:textId="042D77A5" w:rsidR="007179AB" w:rsidRPr="00B83ED2" w:rsidRDefault="007179AB" w:rsidP="002D5BF2">
      <w:pPr>
        <w:pStyle w:val="STodrkyabc"/>
      </w:pPr>
      <w:bookmarkStart w:id="302" w:name="_Toc24561619"/>
      <w:bookmarkStart w:id="303" w:name="_Toc24561724"/>
      <w:r w:rsidRPr="00B83ED2">
        <w:t>Navrhovaná ochranná a bezpečnostní pásma, rozsah omezení a podmínky ochrany podle jiných právních předpisů</w:t>
      </w:r>
      <w:bookmarkEnd w:id="302"/>
      <w:bookmarkEnd w:id="303"/>
    </w:p>
    <w:p w14:paraId="5F5395AF" w14:textId="1B159FA9" w:rsidR="00326797" w:rsidRDefault="00326797" w:rsidP="00326797">
      <w:pPr>
        <w:pStyle w:val="STNORMLN-2"/>
        <w:rPr>
          <w:rFonts w:cs="Segoe UI"/>
        </w:rPr>
      </w:pPr>
      <w:r w:rsidRPr="00B83ED2">
        <w:rPr>
          <w:rFonts w:cs="Segoe UI"/>
        </w:rPr>
        <w:t>Stavba se nachází v ochranném pásmu drah. Ochranné pásmo dráhy je definováno Zákonem č. 266/1994 Sb., o dráhách. Ochranné pásmo drah je pásmo vymezené svislou plochou vedenou u dráhy regionální 60 m od osy krajní koleje. Provozovatel dráhy a provozovatel drážní dopravy je v ochranném pásmu dráhy oprávněn v odůvodněných případech vstupovat na cizí pozemky, a to zejména při provozování dráhy, opravách a údržbě, odstraňování následků nehod a</w:t>
      </w:r>
      <w:r w:rsidR="00AC56BC">
        <w:rPr>
          <w:rFonts w:cs="Segoe UI"/>
        </w:rPr>
        <w:t> </w:t>
      </w:r>
      <w:r w:rsidRPr="00B83ED2">
        <w:rPr>
          <w:rFonts w:cs="Segoe UI"/>
        </w:rPr>
        <w:t>překážek bránících provozování drážní dopravy. Je přitom povinen zajistit, aby co nejméně bránil v užívání pozemku a staveb na nich stojících a nevznikly na nich škody.</w:t>
      </w:r>
    </w:p>
    <w:p w14:paraId="00F5A773" w14:textId="132B6478" w:rsidR="007179AB" w:rsidRDefault="007179AB" w:rsidP="002D5BF2">
      <w:pPr>
        <w:pStyle w:val="STNADPIS1"/>
      </w:pPr>
      <w:bookmarkStart w:id="304" w:name="_Toc18567073"/>
      <w:bookmarkStart w:id="305" w:name="_Toc24561620"/>
      <w:bookmarkStart w:id="306" w:name="_Toc24561725"/>
      <w:bookmarkStart w:id="307" w:name="_Toc24641070"/>
      <w:r w:rsidRPr="00B83ED2">
        <w:t>Ochrana obyvatelstva</w:t>
      </w:r>
      <w:bookmarkEnd w:id="304"/>
      <w:bookmarkEnd w:id="305"/>
      <w:bookmarkEnd w:id="306"/>
      <w:bookmarkEnd w:id="307"/>
    </w:p>
    <w:p w14:paraId="02BA1E46" w14:textId="3CEC7E90" w:rsidR="00904061" w:rsidRDefault="00904061" w:rsidP="00904061">
      <w:pPr>
        <w:pStyle w:val="STNORMLN-2"/>
      </w:pPr>
      <w:r>
        <w:t>Popisovaná stavba bude součástí areálu Centra 83</w:t>
      </w:r>
      <w:r w:rsidR="009F671E">
        <w:t xml:space="preserve"> a proto bude pro ochranu obyvatelstva využíváno</w:t>
      </w:r>
      <w:r w:rsidR="0027543D">
        <w:t xml:space="preserve"> jeho stávajících prostor.</w:t>
      </w:r>
    </w:p>
    <w:p w14:paraId="68A9875F" w14:textId="75BA932F" w:rsidR="007179AB" w:rsidRPr="003020CE" w:rsidRDefault="007179AB" w:rsidP="002D5BF2">
      <w:pPr>
        <w:pStyle w:val="STNADPIS1"/>
      </w:pPr>
      <w:bookmarkStart w:id="308" w:name="_Toc18567074"/>
      <w:bookmarkStart w:id="309" w:name="_Toc24561621"/>
      <w:bookmarkStart w:id="310" w:name="_Toc24561726"/>
      <w:bookmarkStart w:id="311" w:name="_Toc24641071"/>
      <w:r w:rsidRPr="003020CE">
        <w:t>Zásady organizace výstavby</w:t>
      </w:r>
      <w:bookmarkEnd w:id="308"/>
      <w:bookmarkEnd w:id="309"/>
      <w:bookmarkEnd w:id="310"/>
      <w:bookmarkEnd w:id="311"/>
    </w:p>
    <w:p w14:paraId="11AD5BE0" w14:textId="7F506673" w:rsidR="007179AB" w:rsidRPr="00B83ED2" w:rsidRDefault="007179AB" w:rsidP="002D5BF2">
      <w:pPr>
        <w:pStyle w:val="STodrkyabc"/>
        <w:numPr>
          <w:ilvl w:val="0"/>
          <w:numId w:val="34"/>
        </w:numPr>
      </w:pPr>
      <w:bookmarkStart w:id="312" w:name="_Toc24561622"/>
      <w:bookmarkStart w:id="313" w:name="_Toc24561727"/>
      <w:r w:rsidRPr="00B83ED2">
        <w:t>Napojení staveniště na stávající dopravní a technickou infrastrukturu</w:t>
      </w:r>
      <w:bookmarkEnd w:id="312"/>
      <w:bookmarkEnd w:id="313"/>
    </w:p>
    <w:p w14:paraId="2569427E" w14:textId="2463823B" w:rsidR="006D0F7E" w:rsidRPr="00B83ED2" w:rsidRDefault="006D0F7E" w:rsidP="006D0F7E">
      <w:pPr>
        <w:pStyle w:val="STNORMLN-2"/>
        <w:rPr>
          <w:rFonts w:cs="Segoe UI"/>
        </w:rPr>
      </w:pPr>
      <w:r w:rsidRPr="00B83ED2">
        <w:rPr>
          <w:rFonts w:cs="Segoe UI"/>
        </w:rPr>
        <w:t xml:space="preserve">Zajištění médií bude možné ze stávajících zdrojů. Odběr vody a elektřiny </w:t>
      </w:r>
      <w:r w:rsidR="004B48FF">
        <w:rPr>
          <w:rFonts w:cs="Segoe UI"/>
        </w:rPr>
        <w:t>bude</w:t>
      </w:r>
      <w:r w:rsidRPr="00B83ED2">
        <w:rPr>
          <w:rFonts w:cs="Segoe UI"/>
        </w:rPr>
        <w:t xml:space="preserve"> prováděn pouze přes měření spotřeby.</w:t>
      </w:r>
    </w:p>
    <w:p w14:paraId="2C855BAA" w14:textId="3F6939B5" w:rsidR="00562463" w:rsidRPr="00B83ED2" w:rsidRDefault="00562463" w:rsidP="00562463">
      <w:pPr>
        <w:pStyle w:val="STNORMLN-2"/>
        <w:rPr>
          <w:rFonts w:cs="Segoe UI"/>
        </w:rPr>
      </w:pPr>
      <w:r w:rsidRPr="00B83ED2">
        <w:rPr>
          <w:rFonts w:cs="Segoe UI"/>
        </w:rPr>
        <w:t>Přístup ke staveništi, včetně zásobování prostoru stavby bude zajištěno přes sousední parcely č. 1545 a 495/9 využitím zásobovacího dvora</w:t>
      </w:r>
      <w:r>
        <w:rPr>
          <w:rFonts w:cs="Segoe UI"/>
        </w:rPr>
        <w:t xml:space="preserve"> a </w:t>
      </w:r>
      <w:r w:rsidRPr="00B83ED2">
        <w:rPr>
          <w:rFonts w:cs="Segoe UI"/>
        </w:rPr>
        <w:t>po veřejných komunikacích.</w:t>
      </w:r>
    </w:p>
    <w:p w14:paraId="655495C3" w14:textId="45889C8A" w:rsidR="007179AB" w:rsidRPr="00B83ED2" w:rsidRDefault="007179AB" w:rsidP="002D5BF2">
      <w:pPr>
        <w:pStyle w:val="STodrkyabc"/>
      </w:pPr>
      <w:bookmarkStart w:id="314" w:name="_Toc14187864"/>
      <w:bookmarkStart w:id="315" w:name="_Toc14257832"/>
      <w:bookmarkStart w:id="316" w:name="_Toc14335687"/>
      <w:bookmarkStart w:id="317" w:name="_Toc14445700"/>
      <w:bookmarkStart w:id="318" w:name="_Toc24561623"/>
      <w:bookmarkStart w:id="319" w:name="_Toc24561728"/>
      <w:bookmarkEnd w:id="314"/>
      <w:bookmarkEnd w:id="315"/>
      <w:bookmarkEnd w:id="316"/>
      <w:bookmarkEnd w:id="317"/>
      <w:r w:rsidRPr="00B83ED2">
        <w:t>Ochrana okolí staveniště a požadavky na související asanace, demolice, kácení dřevin</w:t>
      </w:r>
      <w:bookmarkEnd w:id="318"/>
      <w:bookmarkEnd w:id="319"/>
    </w:p>
    <w:p w14:paraId="118CB00E" w14:textId="77777777" w:rsidR="00C65A07" w:rsidRPr="00274243" w:rsidRDefault="00C65A07" w:rsidP="00C65A07">
      <w:pPr>
        <w:pStyle w:val="STNORMLN-2"/>
        <w:rPr>
          <w:rFonts w:cs="Segoe UI"/>
        </w:rPr>
      </w:pPr>
      <w:r w:rsidRPr="00B83ED2">
        <w:rPr>
          <w:rFonts w:cs="Segoe UI"/>
        </w:rPr>
        <w:t xml:space="preserve">Výstavba bude dodržovat veškerá hygienická a související nařízení a zvyklosti eliminující případné negativní dopady na blízké okolí. Po celou dobu stavební činnosti bude použito postupů a prostředků zajišťujících eliminaci možné produkce prachu tak, aby nebylo zatíženo okolní prostředí. Po celou dobu výstavby musí být zajištěna průběžná údržba a čištění komunikací (vozovek i chodníků) dotčených stavbou. </w:t>
      </w:r>
    </w:p>
    <w:p w14:paraId="273546BF" w14:textId="6ED95985" w:rsidR="007179AB" w:rsidRPr="00B83ED2" w:rsidRDefault="007179AB" w:rsidP="002D5BF2">
      <w:pPr>
        <w:pStyle w:val="STodrkyabc"/>
      </w:pPr>
      <w:bookmarkStart w:id="320" w:name="_Toc24561624"/>
      <w:bookmarkStart w:id="321" w:name="_Toc24561729"/>
      <w:r w:rsidRPr="00B83ED2">
        <w:t>Maximální dočasné a trvalé zábory pro staveniště</w:t>
      </w:r>
      <w:bookmarkEnd w:id="320"/>
      <w:bookmarkEnd w:id="321"/>
    </w:p>
    <w:p w14:paraId="234C3D74" w14:textId="5B77FA9D" w:rsidR="00900B55" w:rsidRDefault="00900B55" w:rsidP="00900B55">
      <w:pPr>
        <w:pStyle w:val="STNORMLN-2"/>
        <w:rPr>
          <w:rFonts w:cs="Segoe UI"/>
        </w:rPr>
      </w:pPr>
      <w:r w:rsidRPr="00B83ED2">
        <w:rPr>
          <w:rFonts w:cs="Segoe UI"/>
        </w:rPr>
        <w:t>Je předpokládaná dočasn</w:t>
      </w:r>
      <w:r w:rsidR="004B48FF">
        <w:rPr>
          <w:rFonts w:cs="Segoe UI"/>
        </w:rPr>
        <w:t>ý</w:t>
      </w:r>
      <w:r w:rsidRPr="00B83ED2">
        <w:rPr>
          <w:rFonts w:cs="Segoe UI"/>
        </w:rPr>
        <w:t xml:space="preserve"> zá</w:t>
      </w:r>
      <w:r w:rsidR="004B48FF">
        <w:rPr>
          <w:rFonts w:cs="Segoe UI"/>
        </w:rPr>
        <w:t>bor</w:t>
      </w:r>
      <w:r w:rsidRPr="00B83ED2">
        <w:rPr>
          <w:rFonts w:cs="Segoe UI"/>
        </w:rPr>
        <w:t xml:space="preserve"> na </w:t>
      </w:r>
      <w:r w:rsidR="0049695D" w:rsidRPr="00B83ED2">
        <w:rPr>
          <w:rFonts w:cs="Segoe UI"/>
        </w:rPr>
        <w:t>přilehl</w:t>
      </w:r>
      <w:r w:rsidR="0049695D">
        <w:rPr>
          <w:rFonts w:cs="Segoe UI"/>
        </w:rPr>
        <w:t>é</w:t>
      </w:r>
      <w:r w:rsidR="0049695D" w:rsidRPr="00B83ED2">
        <w:rPr>
          <w:rFonts w:cs="Segoe UI"/>
        </w:rPr>
        <w:t xml:space="preserve"> veřejn</w:t>
      </w:r>
      <w:r w:rsidR="0049695D">
        <w:rPr>
          <w:rFonts w:cs="Segoe UI"/>
        </w:rPr>
        <w:t>é</w:t>
      </w:r>
      <w:r w:rsidR="0049695D" w:rsidRPr="00B83ED2">
        <w:rPr>
          <w:rFonts w:cs="Segoe UI"/>
        </w:rPr>
        <w:t xml:space="preserve"> </w:t>
      </w:r>
      <w:r w:rsidRPr="00B83ED2">
        <w:rPr>
          <w:rFonts w:cs="Segoe UI"/>
        </w:rPr>
        <w:t>komunikaci.</w:t>
      </w:r>
      <w:r w:rsidR="004E62A9">
        <w:rPr>
          <w:rFonts w:cs="Segoe UI"/>
        </w:rPr>
        <w:t xml:space="preserve"> </w:t>
      </w:r>
    </w:p>
    <w:p w14:paraId="62AF4DCE" w14:textId="3069DA14" w:rsidR="004E62A9" w:rsidRDefault="004E62A9" w:rsidP="004E62A9">
      <w:pPr>
        <w:pStyle w:val="STNORMLN-2"/>
        <w:rPr>
          <w:rFonts w:cs="Segoe UI"/>
        </w:rPr>
      </w:pPr>
      <w:r w:rsidRPr="00B83ED2">
        <w:rPr>
          <w:rFonts w:cs="Segoe UI"/>
        </w:rPr>
        <w:t xml:space="preserve">V rámci realizace sanačních prací a zateplení podzemní části stavby bude </w:t>
      </w:r>
      <w:r>
        <w:rPr>
          <w:rFonts w:cs="Segoe UI"/>
        </w:rPr>
        <w:t xml:space="preserve">také </w:t>
      </w:r>
      <w:r w:rsidRPr="00B83ED2">
        <w:rPr>
          <w:rFonts w:cs="Segoe UI"/>
        </w:rPr>
        <w:t>nutný zásah do</w:t>
      </w:r>
      <w:r>
        <w:rPr>
          <w:rFonts w:cs="Segoe UI"/>
        </w:rPr>
        <w:t> </w:t>
      </w:r>
      <w:r w:rsidRPr="00B83ED2">
        <w:rPr>
          <w:rFonts w:cs="Segoe UI"/>
        </w:rPr>
        <w:t>veřejného chodníku</w:t>
      </w:r>
      <w:r>
        <w:rPr>
          <w:rFonts w:cs="Segoe UI"/>
        </w:rPr>
        <w:t xml:space="preserve">, který </w:t>
      </w:r>
      <w:r w:rsidRPr="00B83ED2">
        <w:rPr>
          <w:rFonts w:cs="Segoe UI"/>
        </w:rPr>
        <w:t xml:space="preserve">bude znamenat </w:t>
      </w:r>
      <w:r>
        <w:rPr>
          <w:rFonts w:cs="Segoe UI"/>
        </w:rPr>
        <w:t xml:space="preserve">dočasné </w:t>
      </w:r>
      <w:r w:rsidRPr="00B83ED2">
        <w:rPr>
          <w:rFonts w:cs="Segoe UI"/>
        </w:rPr>
        <w:t xml:space="preserve">omezení </w:t>
      </w:r>
      <w:r>
        <w:rPr>
          <w:rFonts w:cs="Segoe UI"/>
        </w:rPr>
        <w:t>užívání chodníku. Součástí úprav bude také oprava chodníku v ulici Havlíčkova po odkopávkách objektu a vybourání vjezdových vrat do garáží. Chodník bude proveden ve shodné skladbě jako jeho stávající navazující části, bude opravena také obruba navazující místní komunikace.</w:t>
      </w:r>
    </w:p>
    <w:p w14:paraId="24D64B4E" w14:textId="5206E504" w:rsidR="004E62A9" w:rsidRPr="00B83ED2" w:rsidRDefault="004E62A9" w:rsidP="00900B55">
      <w:pPr>
        <w:pStyle w:val="STNORMLN-2"/>
        <w:rPr>
          <w:rFonts w:cs="Segoe UI"/>
        </w:rPr>
      </w:pPr>
      <w:r>
        <w:rPr>
          <w:rFonts w:cs="Segoe UI"/>
        </w:rPr>
        <w:t>V rámci výměny vodovodní a kanalizační přípojky bude nutný zásah do veřejné komunikaci.</w:t>
      </w:r>
      <w:r w:rsidR="00FE44B1">
        <w:rPr>
          <w:rFonts w:cs="Segoe UI"/>
        </w:rPr>
        <w:t xml:space="preserve"> Závěrečná úprava dotčeného povrchu stavbou se provede na přilehlé komunikaci a chodníku. Bude položen povrch dle skladby stávající komunikace a chodníku.</w:t>
      </w:r>
    </w:p>
    <w:p w14:paraId="40A0F49F" w14:textId="04EA23C5" w:rsidR="007179AB" w:rsidRPr="00B83ED2" w:rsidRDefault="007179AB" w:rsidP="002D5BF2">
      <w:pPr>
        <w:pStyle w:val="STodrkyabc"/>
      </w:pPr>
      <w:bookmarkStart w:id="322" w:name="_Toc24561625"/>
      <w:bookmarkStart w:id="323" w:name="_Toc24561730"/>
      <w:r w:rsidRPr="00B83ED2">
        <w:t>Požadavky na bezbariérové obchozí trasy</w:t>
      </w:r>
      <w:bookmarkEnd w:id="322"/>
      <w:bookmarkEnd w:id="323"/>
    </w:p>
    <w:p w14:paraId="66005202" w14:textId="1B460DB2" w:rsidR="00900B55" w:rsidRPr="00B83ED2" w:rsidRDefault="00900B55" w:rsidP="00900B55">
      <w:pPr>
        <w:pStyle w:val="STNORMLN-2"/>
        <w:rPr>
          <w:rFonts w:cs="Segoe UI"/>
        </w:rPr>
      </w:pPr>
      <w:r w:rsidRPr="00B83ED2">
        <w:rPr>
          <w:rFonts w:cs="Segoe UI"/>
        </w:rPr>
        <w:t xml:space="preserve">Nejsou. </w:t>
      </w:r>
    </w:p>
    <w:p w14:paraId="48692732" w14:textId="698833BD" w:rsidR="007179AB" w:rsidRPr="00B83ED2" w:rsidRDefault="007179AB" w:rsidP="002D5BF2">
      <w:pPr>
        <w:pStyle w:val="STodrkyabc"/>
      </w:pPr>
      <w:bookmarkStart w:id="324" w:name="_Toc24561626"/>
      <w:bookmarkStart w:id="325" w:name="_Toc24561731"/>
      <w:r w:rsidRPr="00B83ED2">
        <w:t>Bilance zemních prací, požadavky na přísun nebo deponie zemin</w:t>
      </w:r>
      <w:bookmarkEnd w:id="324"/>
      <w:bookmarkEnd w:id="325"/>
    </w:p>
    <w:p w14:paraId="26955ECC" w14:textId="3424AD72" w:rsidR="00E72D8F" w:rsidRPr="00B83ED2" w:rsidRDefault="00900B55" w:rsidP="00900B55">
      <w:pPr>
        <w:pStyle w:val="STNORMLN-2"/>
        <w:rPr>
          <w:rFonts w:cs="Segoe UI"/>
        </w:rPr>
      </w:pPr>
      <w:r w:rsidRPr="00B83ED2">
        <w:rPr>
          <w:rFonts w:cs="Segoe UI"/>
        </w:rPr>
        <w:t xml:space="preserve">Zemina získaná při odkopávkách terénu a výkopech bude využita </w:t>
      </w:r>
      <w:r w:rsidR="004B48FF">
        <w:rPr>
          <w:rFonts w:cs="Segoe UI"/>
        </w:rPr>
        <w:t>pro zásyp a terénní úpravy pro bezbariérový přístup k budově.</w:t>
      </w:r>
    </w:p>
    <w:p w14:paraId="3C129F7F" w14:textId="276515DA" w:rsidR="002305ED" w:rsidRPr="00B83ED2" w:rsidRDefault="002305ED" w:rsidP="002D5BF2">
      <w:pPr>
        <w:pStyle w:val="STNADPIS1"/>
      </w:pPr>
      <w:bookmarkStart w:id="326" w:name="_Toc18567075"/>
      <w:bookmarkStart w:id="327" w:name="_Toc24561627"/>
      <w:bookmarkStart w:id="328" w:name="_Toc24561732"/>
      <w:bookmarkStart w:id="329" w:name="_Toc24641072"/>
      <w:r w:rsidRPr="002D5BF2">
        <w:t>Celkové</w:t>
      </w:r>
      <w:r w:rsidRPr="00B83ED2">
        <w:t xml:space="preserve"> vodohospodářské řešení</w:t>
      </w:r>
      <w:bookmarkEnd w:id="326"/>
      <w:bookmarkEnd w:id="327"/>
      <w:bookmarkEnd w:id="328"/>
      <w:bookmarkEnd w:id="329"/>
    </w:p>
    <w:p w14:paraId="1AF11DB7" w14:textId="7E1EC3AE" w:rsidR="00E72D8F" w:rsidRPr="00274243" w:rsidRDefault="00900B55" w:rsidP="00C31DC5">
      <w:pPr>
        <w:pStyle w:val="STNORMLN-2"/>
        <w:rPr>
          <w:rFonts w:cs="Segoe UI"/>
          <w:color w:val="auto"/>
        </w:rPr>
      </w:pPr>
      <w:r w:rsidRPr="00274243">
        <w:rPr>
          <w:rFonts w:cs="Segoe UI"/>
          <w:color w:val="auto"/>
        </w:rPr>
        <w:t>Ve smyslu zákona č.254/2001 Sb., o vodách (vodní zákon) §5, odst. (3) budou dešťové vody likvidovány na pozemku investora. Ve smyslu aktuálních požadavků pro likvidaci dešťových vod bude zřízen vsakovací objekt</w:t>
      </w:r>
      <w:r w:rsidR="00D47FA0" w:rsidRPr="00274243">
        <w:rPr>
          <w:rFonts w:cs="Segoe UI"/>
          <w:color w:val="auto"/>
        </w:rPr>
        <w:t>.</w:t>
      </w:r>
    </w:p>
    <w:p w14:paraId="633EAA31" w14:textId="5C2301CF" w:rsidR="00F63549" w:rsidRPr="00B83ED2" w:rsidRDefault="00747AD3" w:rsidP="00747AD3">
      <w:pPr>
        <w:pStyle w:val="STNORMLN-2"/>
        <w:tabs>
          <w:tab w:val="right" w:pos="9071"/>
        </w:tabs>
        <w:rPr>
          <w:rFonts w:cs="Segoe UI"/>
          <w:sz w:val="16"/>
          <w:szCs w:val="16"/>
        </w:rPr>
      </w:pPr>
      <w:r w:rsidRPr="00B83ED2">
        <w:rPr>
          <w:rFonts w:cs="Segoe UI"/>
        </w:rPr>
        <w:tab/>
      </w:r>
    </w:p>
    <w:p w14:paraId="14E26CA3" w14:textId="7A4D5E34" w:rsidR="00C02181" w:rsidRPr="00B83ED2" w:rsidRDefault="0046738C" w:rsidP="00274243">
      <w:pPr>
        <w:pStyle w:val="STNORMLN-2"/>
        <w:tabs>
          <w:tab w:val="right" w:pos="9071"/>
        </w:tabs>
        <w:ind w:left="5670"/>
        <w:jc w:val="center"/>
        <w:rPr>
          <w:rFonts w:cs="Segoe UI"/>
        </w:rPr>
      </w:pPr>
      <w:r>
        <w:rPr>
          <w:rFonts w:cs="Segoe UI"/>
        </w:rPr>
        <w:t xml:space="preserve">Ing. </w:t>
      </w:r>
      <w:r w:rsidR="002305ED" w:rsidRPr="00B83ED2">
        <w:rPr>
          <w:rFonts w:cs="Segoe UI"/>
        </w:rPr>
        <w:t>Kitti Országhová</w:t>
      </w:r>
      <w:bookmarkEnd w:id="0"/>
    </w:p>
    <w:sectPr w:rsidR="00C02181" w:rsidRPr="00B83ED2" w:rsidSect="008A14A7">
      <w:headerReference w:type="default" r:id="rId14"/>
      <w:footerReference w:type="default" r:id="rId15"/>
      <w:type w:val="oddPage"/>
      <w:pgSz w:w="11906" w:h="16838" w:code="9"/>
      <w:pgMar w:top="1701" w:right="1134" w:bottom="1418" w:left="1701" w:header="1247" w:footer="851" w:gutter="0"/>
      <w:cols w:space="112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2" w:author="Siebert+Talaš" w:date="2019-07-10T20:03:00Z" w:initials="S+T">
    <w:p w14:paraId="44BA3039" w14:textId="0A0AC107" w:rsidR="00E35D91" w:rsidRDefault="00E35D91">
      <w:pPr>
        <w:pStyle w:val="Textkomente"/>
      </w:pPr>
      <w:r>
        <w:rPr>
          <w:rStyle w:val="Odkaznakoment"/>
        </w:rPr>
        <w:annotationRef/>
      </w:r>
      <w:r>
        <w:rPr>
          <w:noProof/>
        </w:rPr>
        <w:t>nemusíme skácet i ten ořešák na severu?, co ty okrasné stromky?</w:t>
      </w:r>
    </w:p>
  </w:comment>
  <w:comment w:id="33" w:author="Siebert+Talaš" w:date="2019-07-10T20:11:00Z" w:initials="S+T">
    <w:p w14:paraId="4F3FAC63" w14:textId="62C9BABC" w:rsidR="00E35D91" w:rsidRDefault="00E35D91">
      <w:pPr>
        <w:pStyle w:val="Textkomente"/>
      </w:pPr>
      <w:r>
        <w:rPr>
          <w:rStyle w:val="Odkaznakoment"/>
        </w:rPr>
        <w:annotationRef/>
      </w:r>
      <w:r>
        <w:rPr>
          <w:noProof/>
        </w:rPr>
        <w:t>zvažme to, když se stejně bude obkopávat</w:t>
      </w:r>
    </w:p>
  </w:comment>
  <w:comment w:id="36" w:author="Siebert+Talaš" w:date="2019-07-10T19:58:00Z" w:initials="S+T">
    <w:p w14:paraId="1A82952F" w14:textId="03892C78" w:rsidR="00E35D91" w:rsidRDefault="00E35D91">
      <w:pPr>
        <w:pStyle w:val="Textkomente"/>
      </w:pPr>
      <w:r>
        <w:rPr>
          <w:rStyle w:val="Odkaznakoment"/>
        </w:rPr>
        <w:annotationRef/>
      </w:r>
      <w:r>
        <w:rPr>
          <w:noProof/>
        </w:rPr>
        <w:t>nový zábor zahrady nevyžaduje vynětí ze ZPF? radši prosím prověřit</w:t>
      </w:r>
    </w:p>
  </w:comment>
  <w:comment w:id="81" w:author="Siebert+Talaš" w:date="2019-07-10T20:40:00Z" w:initials="S+T">
    <w:p w14:paraId="22205F3B" w14:textId="657F4003" w:rsidR="00E35D91" w:rsidRDefault="00E35D91">
      <w:pPr>
        <w:pStyle w:val="Textkomente"/>
      </w:pPr>
      <w:r>
        <w:rPr>
          <w:rStyle w:val="Odkaznakoment"/>
        </w:rPr>
        <w:annotationRef/>
      </w:r>
      <w:r>
        <w:rPr>
          <w:noProof/>
        </w:rPr>
        <w:t>zde by chtělo trochu rozepsat vzhledm k obkopání budovy, zásahů do chodníku atd.</w:t>
      </w:r>
    </w:p>
  </w:comment>
  <w:comment w:id="92" w:author="Siebert+Talaš" w:date="2019-07-10T20:51:00Z" w:initials="S+T">
    <w:p w14:paraId="3CC13394" w14:textId="5AE48EFA" w:rsidR="00E35D91" w:rsidRDefault="00E35D91">
      <w:pPr>
        <w:pStyle w:val="Textkomente"/>
      </w:pPr>
      <w:r>
        <w:rPr>
          <w:rStyle w:val="Odkaznakoment"/>
        </w:rPr>
        <w:annotationRef/>
      </w:r>
    </w:p>
  </w:comment>
  <w:comment w:id="91" w:author="Siebert+Talaš" w:date="2019-07-10T20:51:00Z" w:initials="S+T">
    <w:p w14:paraId="1EC047B1" w14:textId="6FE076D5" w:rsidR="00E35D91" w:rsidRDefault="00E35D91">
      <w:pPr>
        <w:pStyle w:val="Textkomente"/>
      </w:pPr>
      <w:r>
        <w:rPr>
          <w:rStyle w:val="Odkaznakoment"/>
        </w:rPr>
        <w:annotationRef/>
      </w:r>
      <w:r>
        <w:rPr>
          <w:noProof/>
        </w:rPr>
        <w:t>byl by fajn, dáme ho tam?</w:t>
      </w:r>
    </w:p>
  </w:comment>
  <w:comment w:id="109" w:author="Siebert+Talaš" w:date="2019-07-10T21:07:00Z" w:initials="S+T">
    <w:p w14:paraId="1B309369" w14:textId="54AC6FA2" w:rsidR="00E35D91" w:rsidRDefault="00E35D91">
      <w:pPr>
        <w:pStyle w:val="Textkomente"/>
      </w:pPr>
      <w:r>
        <w:rPr>
          <w:rStyle w:val="Odkaznakoment"/>
        </w:rPr>
        <w:annotationRef/>
      </w:r>
      <w:r>
        <w:rPr>
          <w:noProof/>
        </w:rPr>
        <w:t>upravit případně dle popisu vstupu viz výše</w:t>
      </w:r>
    </w:p>
  </w:comment>
  <w:comment w:id="228" w:author="Siebert+Talaš" w:date="2019-07-11T12:44:00Z" w:initials="S+T">
    <w:p w14:paraId="0FC124B3" w14:textId="77777777" w:rsidR="00E35D91" w:rsidRDefault="00E35D91" w:rsidP="00AF5D80">
      <w:pPr>
        <w:pStyle w:val="Textkomente"/>
      </w:pPr>
      <w:r>
        <w:rPr>
          <w:rStyle w:val="Odkaznakoment"/>
        </w:rPr>
        <w:annotationRef/>
      </w:r>
    </w:p>
  </w:comment>
  <w:comment w:id="229" w:author="Siebert+Talaš" w:date="2019-07-11T12:44:00Z" w:initials="S+T">
    <w:p w14:paraId="7FA98EE3" w14:textId="77777777" w:rsidR="00E35D91" w:rsidRDefault="00E35D91" w:rsidP="00AF5D80">
      <w:pPr>
        <w:pStyle w:val="Textkomente"/>
      </w:pPr>
      <w:r>
        <w:rPr>
          <w:rStyle w:val="Odkaznakoment"/>
        </w:rPr>
        <w:annotationRef/>
      </w:r>
      <w:r>
        <w:rPr>
          <w:noProof/>
        </w:rPr>
        <w:t>my ho navrhujeme? pak by mělo být popsáno v předmětu prjktu, včetněopravy  výměnycelého oploceí</w:t>
      </w:r>
    </w:p>
  </w:comment>
  <w:comment w:id="230" w:author="Siebert+Talaš" w:date="2019-07-11T12:44:00Z" w:initials="S+T">
    <w:p w14:paraId="09D4E352" w14:textId="3DFB7BF2" w:rsidR="00E35D91" w:rsidRDefault="00E35D91">
      <w:pPr>
        <w:pStyle w:val="Textkomente"/>
      </w:pPr>
      <w:r>
        <w:rPr>
          <w:rStyle w:val="Odkaznakoment"/>
        </w:rPr>
        <w:annotationRef/>
      </w:r>
      <w:r>
        <w:rPr>
          <w:noProof/>
        </w:rPr>
        <w:t>my ho navrhujeme? pak by mělo být popsáno v předmětu prjktu, včetněopravy  výměnycelého oploceí</w:t>
      </w:r>
    </w:p>
  </w:comment>
  <w:comment w:id="268" w:author="Siebert+Talaš" w:date="2019-07-11T12:49:00Z" w:initials="S+T">
    <w:p w14:paraId="42A5B817" w14:textId="6B19CCC0" w:rsidR="00E35D91" w:rsidRDefault="00E35D91">
      <w:pPr>
        <w:pStyle w:val="Textkomente"/>
      </w:pPr>
      <w:r>
        <w:rPr>
          <w:rStyle w:val="Odkaznakoment"/>
        </w:rPr>
        <w:annotationRef/>
      </w:r>
      <w:r>
        <w:rPr>
          <w:noProof/>
        </w:rPr>
        <w:t>pokud změníme přístup tak přepsa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BA3039" w15:done="0"/>
  <w15:commentEx w15:paraId="4F3FAC63" w15:done="0"/>
  <w15:commentEx w15:paraId="1A82952F" w15:done="0"/>
  <w15:commentEx w15:paraId="22205F3B" w15:done="0"/>
  <w15:commentEx w15:paraId="3CC13394" w15:done="0"/>
  <w15:commentEx w15:paraId="1EC047B1" w15:done="0"/>
  <w15:commentEx w15:paraId="1B309369" w15:done="0"/>
  <w15:commentEx w15:paraId="0FC124B3" w15:done="0"/>
  <w15:commentEx w15:paraId="7FA98EE3" w15:done="0"/>
  <w15:commentEx w15:paraId="09D4E352" w15:done="0"/>
  <w15:commentEx w15:paraId="42A5B8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BA3039" w16cid:durableId="20D0C2F5"/>
  <w16cid:commentId w16cid:paraId="4F3FAC63" w16cid:durableId="20D0C4F0"/>
  <w16cid:commentId w16cid:paraId="1A82952F" w16cid:durableId="20D0C1E1"/>
  <w16cid:commentId w16cid:paraId="22205F3B" w16cid:durableId="20D0CBCF"/>
  <w16cid:commentId w16cid:paraId="3CC13394" w16cid:durableId="20D0CE40"/>
  <w16cid:commentId w16cid:paraId="1EC047B1" w16cid:durableId="20D0CE4A"/>
  <w16cid:commentId w16cid:paraId="1B309369" w16cid:durableId="20D0D20D"/>
  <w16cid:commentId w16cid:paraId="0FC124B3" w16cid:durableId="2119022D"/>
  <w16cid:commentId w16cid:paraId="7FA98EE3" w16cid:durableId="2119022C"/>
  <w16cid:commentId w16cid:paraId="09D4E352" w16cid:durableId="211A1ED1"/>
  <w16cid:commentId w16cid:paraId="42A5B817" w16cid:durableId="20D1AE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BD49A" w14:textId="77777777" w:rsidR="00E35D91" w:rsidRDefault="00E35D91" w:rsidP="00A9351D">
      <w:pPr>
        <w:spacing w:after="0" w:line="240" w:lineRule="auto"/>
      </w:pPr>
      <w:r>
        <w:separator/>
      </w:r>
    </w:p>
  </w:endnote>
  <w:endnote w:type="continuationSeparator" w:id="0">
    <w:p w14:paraId="5504344F" w14:textId="77777777" w:rsidR="00E35D91" w:rsidRDefault="00E35D91" w:rsidP="00A93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TZPATChar"/>
      </w:rPr>
      <w:id w:val="2089116235"/>
      <w:docPartObj>
        <w:docPartGallery w:val="Page Numbers (Bottom of Page)"/>
        <w:docPartUnique/>
      </w:docPartObj>
    </w:sdtPr>
    <w:sdtEndPr>
      <w:rPr>
        <w:rStyle w:val="STZHLAVChar"/>
        <w:noProof/>
        <w:color w:val="262626" w:themeColor="text1" w:themeTint="D9"/>
        <w:lang w:val="sk-SK" w:eastAsia="sk-SK"/>
      </w:rPr>
    </w:sdtEndPr>
    <w:sdtContent>
      <w:p w14:paraId="3486560E" w14:textId="77777777" w:rsidR="00E35D91" w:rsidRDefault="00E35D91" w:rsidP="00CF3FFB">
        <w:pPr>
          <w:pStyle w:val="STZPAT"/>
          <w:rPr>
            <w:rStyle w:val="STZPATChar"/>
          </w:rPr>
        </w:pPr>
        <w:r w:rsidRPr="00B13E95">
          <w:rPr>
            <w:rStyle w:val="STZPATChar"/>
            <w:noProof/>
          </w:rPr>
          <w:drawing>
            <wp:anchor distT="0" distB="0" distL="114300" distR="114300" simplePos="0" relativeHeight="251671552" behindDoc="0" locked="0" layoutInCell="1" allowOverlap="1" wp14:anchorId="285880FB" wp14:editId="18F634B8">
              <wp:simplePos x="0" y="0"/>
              <wp:positionH relativeFrom="column">
                <wp:posOffset>-101940</wp:posOffset>
              </wp:positionH>
              <wp:positionV relativeFrom="paragraph">
                <wp:posOffset>28797</wp:posOffset>
              </wp:positionV>
              <wp:extent cx="1437195" cy="233547"/>
              <wp:effectExtent l="0" t="0" r="0"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4168"/>
                      <a:stretch/>
                    </pic:blipFill>
                    <pic:spPr bwMode="auto">
                      <a:xfrm>
                        <a:off x="0" y="0"/>
                        <a:ext cx="1440000" cy="2340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3E95">
          <w:rPr>
            <w:rStyle w:val="STZPATChar"/>
            <w:noProof/>
          </w:rPr>
          <mc:AlternateContent>
            <mc:Choice Requires="wps">
              <w:drawing>
                <wp:anchor distT="0" distB="0" distL="114300" distR="114300" simplePos="0" relativeHeight="251663360" behindDoc="0" locked="1" layoutInCell="1" allowOverlap="1" wp14:anchorId="530127C1" wp14:editId="43D5A3FE">
                  <wp:simplePos x="0" y="0"/>
                  <wp:positionH relativeFrom="margin">
                    <wp:posOffset>0</wp:posOffset>
                  </wp:positionH>
                  <wp:positionV relativeFrom="page">
                    <wp:posOffset>9820910</wp:posOffset>
                  </wp:positionV>
                  <wp:extent cx="5759450" cy="0"/>
                  <wp:effectExtent l="0" t="0" r="0" b="0"/>
                  <wp:wrapNone/>
                  <wp:docPr id="8" name="Přímá spojnice 8"/>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DBA8F9" id="Přímá spojnice 8"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73.3pt" to="453.5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" strokecolor="#272727 [2749]" strokeweight=".5pt">
                  <v:stroke joinstyle="miter"/>
                  <w10:wrap anchorx="margin" anchory="page"/>
                  <w10:anchorlock/>
                </v:line>
              </w:pict>
            </mc:Fallback>
          </mc:AlternateContent>
        </w:r>
        <w:r w:rsidRPr="00B13E95">
          <w:rPr>
            <w:rStyle w:val="STZPATChar"/>
          </w:rPr>
          <w:t xml:space="preserve">strana </w:t>
        </w:r>
        <w:r w:rsidRPr="00B13E95">
          <w:rPr>
            <w:rStyle w:val="STZPATChar"/>
          </w:rPr>
          <w:fldChar w:fldCharType="begin"/>
        </w:r>
        <w:r w:rsidRPr="00B13E95">
          <w:rPr>
            <w:rStyle w:val="STZPATChar"/>
          </w:rPr>
          <w:instrText>PAGE   \* MERGEFORMAT</w:instrText>
        </w:r>
        <w:r w:rsidRPr="00B13E95">
          <w:rPr>
            <w:rStyle w:val="STZPATChar"/>
          </w:rPr>
          <w:fldChar w:fldCharType="separate"/>
        </w:r>
        <w:r w:rsidRPr="00B13E95">
          <w:rPr>
            <w:rStyle w:val="STZPATChar"/>
          </w:rPr>
          <w:t>2</w:t>
        </w:r>
        <w:r w:rsidRPr="00B13E95">
          <w:rPr>
            <w:rStyle w:val="STZPATChar"/>
          </w:rPr>
          <w:fldChar w:fldCharType="end"/>
        </w:r>
        <w:r w:rsidRPr="00B13E95">
          <w:rPr>
            <w:rStyle w:val="STZPATChar"/>
          </w:rPr>
          <w:t xml:space="preserve"> / </w:t>
        </w:r>
        <w:r w:rsidRPr="00B13E95">
          <w:rPr>
            <w:rStyle w:val="STZPATChar"/>
          </w:rPr>
          <w:fldChar w:fldCharType="begin"/>
        </w:r>
        <w:r w:rsidRPr="00B13E95">
          <w:rPr>
            <w:rStyle w:val="STZPATChar"/>
          </w:rPr>
          <w:instrText xml:space="preserve"> NUMPAGES   \* MERGEFORMAT </w:instrText>
        </w:r>
        <w:r w:rsidRPr="00B13E95">
          <w:rPr>
            <w:rStyle w:val="STZPATChar"/>
          </w:rPr>
          <w:fldChar w:fldCharType="separate"/>
        </w:r>
        <w:r w:rsidRPr="00B13E95">
          <w:rPr>
            <w:rStyle w:val="STZPATChar"/>
          </w:rPr>
          <w:t>70</w:t>
        </w:r>
        <w:r w:rsidRPr="00B13E95">
          <w:rPr>
            <w:rStyle w:val="STZPATChar"/>
          </w:rPr>
          <w:fldChar w:fldCharType="end"/>
        </w:r>
      </w:p>
      <w:p w14:paraId="5F207369" w14:textId="42366951" w:rsidR="00E35D91" w:rsidRPr="00CF3FFB" w:rsidRDefault="00E35D91" w:rsidP="00CF3FFB">
        <w:pPr>
          <w:pStyle w:val="STZPAT"/>
        </w:pPr>
        <w:r>
          <w:rPr>
            <w:rStyle w:val="STZPATChar"/>
          </w:rPr>
          <w:t xml:space="preserve">Soubor </w:t>
        </w:r>
        <w:r w:rsidRPr="00C02181">
          <w:rPr>
            <w:rStyle w:val="STZPATChar"/>
            <w:i/>
          </w:rPr>
          <w:fldChar w:fldCharType="begin"/>
        </w:r>
        <w:r w:rsidRPr="00C02181">
          <w:rPr>
            <w:rStyle w:val="STZPATChar"/>
            <w:i/>
          </w:rPr>
          <w:instrText xml:space="preserve"> FILENAME   \* MERGEFORMAT </w:instrText>
        </w:r>
        <w:r w:rsidRPr="00C02181">
          <w:rPr>
            <w:rStyle w:val="STZPATChar"/>
            <w:i/>
          </w:rPr>
          <w:fldChar w:fldCharType="separate"/>
        </w:r>
        <w:r w:rsidR="006B276F">
          <w:rPr>
            <w:rStyle w:val="STZPATChar"/>
            <w:i/>
            <w:noProof/>
          </w:rPr>
          <w:t>2019_010_CZ_DJP_B_0000_0001-01_STZPR</w:t>
        </w:r>
        <w:r w:rsidRPr="00C02181">
          <w:rPr>
            <w:rStyle w:val="STZPATChar"/>
            <w:i/>
          </w:rPr>
          <w:fldChar w:fldCharType="end"/>
        </w:r>
        <w:r w:rsidRPr="00C02181">
          <w:rPr>
            <w:rStyle w:val="STZPATChar"/>
            <w:i/>
          </w:rPr>
          <w:t>.doc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09777" w14:textId="77777777" w:rsidR="00E35D91" w:rsidRDefault="00E35D91" w:rsidP="00A9351D">
      <w:pPr>
        <w:spacing w:after="0" w:line="240" w:lineRule="auto"/>
      </w:pPr>
      <w:r>
        <w:separator/>
      </w:r>
    </w:p>
  </w:footnote>
  <w:footnote w:type="continuationSeparator" w:id="0">
    <w:p w14:paraId="58595660" w14:textId="77777777" w:rsidR="00E35D91" w:rsidRDefault="00E35D91" w:rsidP="00A93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33C24" w14:textId="11036195" w:rsidR="00E35D91" w:rsidRPr="001B319A" w:rsidRDefault="00E35D91" w:rsidP="0001680F">
    <w:pPr>
      <w:pStyle w:val="STZHLAV"/>
      <w:tabs>
        <w:tab w:val="right" w:pos="9072"/>
      </w:tabs>
    </w:pPr>
    <w:bookmarkStart w:id="330" w:name="_Hlk529205394"/>
    <w:r w:rsidRPr="00BC6D4E">
      <w:rPr>
        <w:b/>
      </w:rPr>
      <w:t>SIEBERT+ TALAŠ, spol. s r.o.</w:t>
    </w:r>
    <w:r>
      <w:tab/>
    </w:r>
    <w:r w:rsidRPr="001B319A">
      <w:t>Zakázka č.</w:t>
    </w:r>
    <w:r>
      <w:t>:</w:t>
    </w:r>
    <w:r w:rsidRPr="001B319A">
      <w:t xml:space="preserve"> </w:t>
    </w:r>
    <w:r>
      <w:rPr>
        <w:rFonts w:cs="Segoe UI"/>
      </w:rPr>
      <w:t>20190102CZ11_DJP</w:t>
    </w:r>
    <w:r>
      <w:t>_201</w:t>
    </w:r>
  </w:p>
  <w:p w14:paraId="68E6E7E7" w14:textId="3C853D03" w:rsidR="00E35D91" w:rsidRPr="0001680F" w:rsidRDefault="00E35D91" w:rsidP="00C716E4">
    <w:pPr>
      <w:pStyle w:val="STZHLAV"/>
      <w:tabs>
        <w:tab w:val="right" w:pos="9071"/>
      </w:tabs>
      <w:jc w:val="left"/>
      <w:rPr>
        <w:rFonts w:cs="Segoe UI"/>
      </w:rPr>
    </w:pPr>
    <w:r w:rsidRPr="0001680F">
      <w:rPr>
        <w:bCs/>
      </w:rPr>
      <w:t>Část B – Souhrnná technická zpráva</w:t>
    </w:r>
    <w:r w:rsidRPr="0001680F">
      <w:tab/>
    </w:r>
    <w:r w:rsidRPr="0001680F">
      <w:rPr>
        <w:rFonts w:cs="Segoe UI"/>
      </w:rPr>
      <w:t>DOMOV PRO OSOBY S AUTISMEM MB</w:t>
    </w:r>
  </w:p>
  <w:p w14:paraId="3B57A5D2" w14:textId="40020F00" w:rsidR="00E35D91" w:rsidRPr="001B319A" w:rsidRDefault="00E35D91" w:rsidP="00C716E4">
    <w:pPr>
      <w:pStyle w:val="STZHLAV"/>
      <w:tabs>
        <w:tab w:val="right" w:pos="9071"/>
      </w:tabs>
      <w:jc w:val="left"/>
    </w:pPr>
    <w:r>
      <w:t>Souhrnná technická zpráva</w:t>
    </w:r>
  </w:p>
  <w:bookmarkEnd w:id="330"/>
  <w:p w14:paraId="2C322EC7" w14:textId="77777777" w:rsidR="00E35D91" w:rsidRPr="00A9351D" w:rsidRDefault="00E35D91" w:rsidP="001B319A">
    <w:pPr>
      <w:pStyle w:val="STZHLAV"/>
    </w:pPr>
    <w:r w:rsidRPr="00A9351D">
      <mc:AlternateContent>
        <mc:Choice Requires="wps">
          <w:drawing>
            <wp:anchor distT="0" distB="0" distL="114300" distR="114300" simplePos="0" relativeHeight="251659264" behindDoc="0" locked="1" layoutInCell="1" allowOverlap="1" wp14:anchorId="22B632DB" wp14:editId="00F6479B">
              <wp:simplePos x="0" y="0"/>
              <wp:positionH relativeFrom="margin">
                <wp:posOffset>0</wp:posOffset>
              </wp:positionH>
              <wp:positionV relativeFrom="page">
                <wp:posOffset>1336675</wp:posOffset>
              </wp:positionV>
              <wp:extent cx="5759450"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1391A3" id="Přímá spojnice 4"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105.25pt" to="453.5pt,1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" strokecolor="#272727 [2749]" strokeweight=".5pt">
              <v:stroke joinstyle="miter"/>
              <w10:wrap anchorx="margin"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F013D34"/>
    <w:multiLevelType w:val="hybridMultilevel"/>
    <w:tmpl w:val="572C8A7A"/>
    <w:lvl w:ilvl="0" w:tplc="1A6ABC1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F4709B"/>
    <w:multiLevelType w:val="hybridMultilevel"/>
    <w:tmpl w:val="7910008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286E3164"/>
    <w:multiLevelType w:val="hybridMultilevel"/>
    <w:tmpl w:val="F3C68C68"/>
    <w:lvl w:ilvl="0" w:tplc="EA429F38">
      <w:start w:val="1"/>
      <w:numFmt w:val="bullet"/>
      <w:pStyle w:val="DTFODRKY-2"/>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38648B3"/>
    <w:multiLevelType w:val="hybridMultilevel"/>
    <w:tmpl w:val="31A28152"/>
    <w:lvl w:ilvl="0" w:tplc="91E2FDF2">
      <w:start w:val="1"/>
      <w:numFmt w:val="bullet"/>
      <w:pStyle w:val="ST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70D24A7"/>
    <w:multiLevelType w:val="hybridMultilevel"/>
    <w:tmpl w:val="39CA7A1A"/>
    <w:lvl w:ilvl="0" w:tplc="1A6ABC1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7F4FC1"/>
    <w:multiLevelType w:val="hybridMultilevel"/>
    <w:tmpl w:val="0F2A2BFE"/>
    <w:lvl w:ilvl="0" w:tplc="10641BF0">
      <w:start w:val="1"/>
      <w:numFmt w:val="lowerLetter"/>
      <w:pStyle w:val="STodrkyabc"/>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0" w15:restartNumberingAfterBreak="0">
    <w:nsid w:val="4F5D5B67"/>
    <w:multiLevelType w:val="hybridMultilevel"/>
    <w:tmpl w:val="7E003A1C"/>
    <w:lvl w:ilvl="0" w:tplc="C0FC184C">
      <w:start w:val="1"/>
      <w:numFmt w:val="decimal"/>
      <w:pStyle w:val="Nadpis2"/>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1B0F09"/>
    <w:multiLevelType w:val="hybridMultilevel"/>
    <w:tmpl w:val="1C72A9FA"/>
    <w:lvl w:ilvl="0" w:tplc="04050011">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802B8C"/>
    <w:multiLevelType w:val="multilevel"/>
    <w:tmpl w:val="64B25D54"/>
    <w:lvl w:ilvl="0">
      <w:start w:val="1"/>
      <w:numFmt w:val="decimal"/>
      <w:pStyle w:val="STNADPIS1"/>
      <w:lvlText w:val="B.%1.        "/>
      <w:lvlJc w:val="left"/>
      <w:pPr>
        <w:ind w:left="360" w:hanging="360"/>
      </w:pPr>
      <w:rPr>
        <w:rFonts w:ascii="Segoe UI" w:hAnsi="Segoe UI" w:hint="default"/>
        <w:b/>
        <w:i w:val="0"/>
        <w:caps w:val="0"/>
        <w:strike w:val="0"/>
        <w:dstrike w:val="0"/>
        <w:vanish w:val="0"/>
        <w:sz w:val="24"/>
        <w:u w:val="none"/>
        <w:vertAlign w:val="baseline"/>
      </w:rPr>
    </w:lvl>
    <w:lvl w:ilvl="1">
      <w:start w:val="1"/>
      <w:numFmt w:val="decimal"/>
      <w:pStyle w:val="STNADPIS2"/>
      <w:isLgl/>
      <w:lvlText w:val="B.%1.%2"/>
      <w:lvlJc w:val="left"/>
      <w:pPr>
        <w:ind w:left="964"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TNADPIS3"/>
      <w:lvlText w:val="A.%1.%2.%3)"/>
      <w:lvlJc w:val="left"/>
      <w:pPr>
        <w:ind w:left="1134" w:hanging="1134"/>
      </w:pPr>
      <w:rPr>
        <w:rFonts w:hint="default"/>
        <w:b/>
        <w:i w:val="0"/>
        <w:sz w:val="24"/>
      </w:rPr>
    </w:lvl>
    <w:lvl w:ilvl="3">
      <w:start w:val="1"/>
      <w:numFmt w:val="decimal"/>
      <w:pStyle w:val="DTFNADPIS-4CISLOVANY"/>
      <w:isLgl/>
      <w:lvlText w:val="%1.%2.%3.%4"/>
      <w:lvlJc w:val="left"/>
      <w:pPr>
        <w:ind w:left="964" w:hanging="964"/>
      </w:pPr>
      <w:rPr>
        <w:rFonts w:hint="default"/>
        <w:b/>
        <w:i w:val="0"/>
      </w:rPr>
    </w:lvl>
    <w:lvl w:ilvl="4">
      <w:start w:val="1"/>
      <w:numFmt w:val="decimal"/>
      <w:isLgl/>
      <w:lvlText w:val="%1.%2.%3.%4.%5"/>
      <w:lvlJc w:val="left"/>
      <w:pPr>
        <w:ind w:left="964" w:hanging="964"/>
      </w:pPr>
      <w:rPr>
        <w:rFonts w:hint="default"/>
      </w:rPr>
    </w:lvl>
    <w:lvl w:ilvl="5">
      <w:start w:val="1"/>
      <w:numFmt w:val="decimal"/>
      <w:isLgl/>
      <w:lvlText w:val="%1.%2.%3.%4.%5.%6"/>
      <w:lvlJc w:val="left"/>
      <w:pPr>
        <w:ind w:left="964" w:hanging="964"/>
      </w:pPr>
      <w:rPr>
        <w:rFonts w:hint="default"/>
        <w:b/>
        <w:i w:val="0"/>
      </w:rPr>
    </w:lvl>
    <w:lvl w:ilvl="6">
      <w:start w:val="1"/>
      <w:numFmt w:val="decimal"/>
      <w:isLgl/>
      <w:lvlText w:val="%1.%2.%3.%4.%5.%6.%7"/>
      <w:lvlJc w:val="left"/>
      <w:pPr>
        <w:ind w:left="964" w:hanging="964"/>
      </w:pPr>
      <w:rPr>
        <w:rFonts w:hint="default"/>
      </w:rPr>
    </w:lvl>
    <w:lvl w:ilvl="7">
      <w:start w:val="1"/>
      <w:numFmt w:val="decimal"/>
      <w:isLgl/>
      <w:lvlText w:val="%1.%2.%3.%4.%5.%6.%7.%8"/>
      <w:lvlJc w:val="left"/>
      <w:pPr>
        <w:ind w:left="964" w:hanging="964"/>
      </w:pPr>
      <w:rPr>
        <w:rFonts w:hint="default"/>
      </w:rPr>
    </w:lvl>
    <w:lvl w:ilvl="8">
      <w:start w:val="1"/>
      <w:numFmt w:val="decimal"/>
      <w:isLgl/>
      <w:lvlText w:val="%1.%2.%3.%4.%5.%6.%7.%8.%9"/>
      <w:lvlJc w:val="left"/>
      <w:pPr>
        <w:ind w:left="964" w:hanging="964"/>
      </w:pPr>
      <w:rPr>
        <w:rFonts w:hint="default"/>
      </w:rPr>
    </w:lvl>
  </w:abstractNum>
  <w:abstractNum w:abstractNumId="13" w15:restartNumberingAfterBreak="0">
    <w:nsid w:val="686E20BC"/>
    <w:multiLevelType w:val="hybridMultilevel"/>
    <w:tmpl w:val="D2D8671C"/>
    <w:lvl w:ilvl="0" w:tplc="1606251C">
      <w:start w:val="1"/>
      <w:numFmt w:val="decimal"/>
      <w:lvlText w:val="B.1.%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162714"/>
    <w:multiLevelType w:val="hybridMultilevel"/>
    <w:tmpl w:val="59C0A8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DD06F9"/>
    <w:multiLevelType w:val="hybridMultilevel"/>
    <w:tmpl w:val="DBAAB0BA"/>
    <w:lvl w:ilvl="0" w:tplc="04050001">
      <w:start w:val="1"/>
      <w:numFmt w:val="bullet"/>
      <w:lvlText w:val=""/>
      <w:lvlJc w:val="left"/>
      <w:pPr>
        <w:ind w:left="502"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5"/>
  </w:num>
  <w:num w:numId="2">
    <w:abstractNumId w:val="3"/>
  </w:num>
  <w:num w:numId="3">
    <w:abstractNumId w:val="9"/>
  </w:num>
  <w:num w:numId="4">
    <w:abstractNumId w:val="7"/>
  </w:num>
  <w:num w:numId="5">
    <w:abstractNumId w:val="10"/>
  </w:num>
  <w:num w:numId="6">
    <w:abstractNumId w:val="4"/>
  </w:num>
  <w:num w:numId="7">
    <w:abstractNumId w:val="12"/>
  </w:num>
  <w:num w:numId="8">
    <w:abstractNumId w:val="15"/>
  </w:num>
  <w:num w:numId="9">
    <w:abstractNumId w:val="15"/>
    <w:lvlOverride w:ilvl="0">
      <w:startOverride w:val="1"/>
    </w:lvlOverride>
  </w:num>
  <w:num w:numId="10">
    <w:abstractNumId w:val="15"/>
    <w:lvlOverride w:ilvl="0">
      <w:startOverride w:val="1"/>
    </w:lvlOverride>
  </w:num>
  <w:num w:numId="11">
    <w:abstractNumId w:val="15"/>
    <w:lvlOverride w:ilvl="0">
      <w:startOverride w:val="1"/>
    </w:lvlOverride>
  </w:num>
  <w:num w:numId="12">
    <w:abstractNumId w:val="8"/>
  </w:num>
  <w:num w:numId="13">
    <w:abstractNumId w:val="14"/>
  </w:num>
  <w:num w:numId="14">
    <w:abstractNumId w:val="6"/>
  </w:num>
  <w:num w:numId="15">
    <w:abstractNumId w:val="11"/>
  </w:num>
  <w:num w:numId="16">
    <w:abstractNumId w:val="2"/>
  </w:num>
  <w:num w:numId="17">
    <w:abstractNumId w:val="12"/>
  </w:num>
  <w:num w:numId="18">
    <w:abstractNumId w:val="12"/>
  </w:num>
  <w:num w:numId="19">
    <w:abstractNumId w:val="12"/>
  </w:num>
  <w:num w:numId="20">
    <w:abstractNumId w:val="12"/>
  </w:num>
  <w:num w:numId="21">
    <w:abstractNumId w:val="12"/>
    <w:lvlOverride w:ilvl="0">
      <w:lvl w:ilvl="0">
        <w:start w:val="1"/>
        <w:numFmt w:val="decimal"/>
        <w:pStyle w:val="STNADPIS1"/>
        <w:lvlText w:val="B%1."/>
        <w:lvlJc w:val="left"/>
        <w:pPr>
          <w:ind w:left="964" w:hanging="964"/>
        </w:pPr>
        <w:rPr>
          <w:rFonts w:ascii="Segoe UI" w:hAnsi="Segoe UI" w:hint="default"/>
          <w:b/>
          <w:i w:val="0"/>
          <w:caps w:val="0"/>
          <w:strike w:val="0"/>
          <w:dstrike w:val="0"/>
          <w:vanish w:val="0"/>
          <w:sz w:val="24"/>
          <w:u w:val="none"/>
          <w:vertAlign w:val="baseline"/>
        </w:rPr>
      </w:lvl>
    </w:lvlOverride>
    <w:lvlOverride w:ilvl="1">
      <w:lvl w:ilvl="1">
        <w:start w:val="1"/>
        <w:numFmt w:val="decimal"/>
        <w:pStyle w:val="STNADPIS2"/>
        <w:lvlText w:val="B%1.%2)"/>
        <w:lvlJc w:val="left"/>
        <w:pPr>
          <w:ind w:left="284" w:hanging="284"/>
        </w:pPr>
        <w:rPr>
          <w:rFonts w:hint="default"/>
          <w:b/>
          <w:i w:val="0"/>
          <w:sz w:val="24"/>
        </w:rPr>
      </w:lvl>
    </w:lvlOverride>
    <w:lvlOverride w:ilvl="2">
      <w:lvl w:ilvl="2">
        <w:start w:val="1"/>
        <w:numFmt w:val="lowerLetter"/>
        <w:pStyle w:val="STNADPIS3"/>
        <w:lvlText w:val="B%1.%2.%3)"/>
        <w:lvlJc w:val="left"/>
        <w:pPr>
          <w:ind w:left="0" w:firstLine="0"/>
        </w:pPr>
        <w:rPr>
          <w:rFonts w:hint="default"/>
          <w:b/>
          <w:i w:val="0"/>
          <w:sz w:val="24"/>
        </w:rPr>
      </w:lvl>
    </w:lvlOverride>
    <w:lvlOverride w:ilvl="3">
      <w:lvl w:ilvl="3">
        <w:start w:val="1"/>
        <w:numFmt w:val="decimal"/>
        <w:pStyle w:val="DTFNADPIS-4CISLOVANY"/>
        <w:isLgl/>
        <w:lvlText w:val="%1.%2.%3.%4"/>
        <w:lvlJc w:val="left"/>
        <w:pPr>
          <w:ind w:left="964" w:hanging="964"/>
        </w:pPr>
        <w:rPr>
          <w:rFonts w:hint="default"/>
          <w:b/>
          <w:i w:val="0"/>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lvlRestart w:val="1"/>
        <w:isLgl/>
        <w:lvlText w:val="B%1.%6)"/>
        <w:lvlJc w:val="left"/>
        <w:pPr>
          <w:ind w:left="964" w:hanging="964"/>
        </w:pPr>
        <w:rPr>
          <w:rFonts w:hint="default"/>
          <w:b/>
          <w:i w:val="0"/>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2">
    <w:abstractNumId w:val="1"/>
  </w:num>
  <w:num w:numId="23">
    <w:abstractNumId w:val="12"/>
  </w:num>
  <w:num w:numId="24">
    <w:abstractNumId w:val="12"/>
  </w:num>
  <w:num w:numId="25">
    <w:abstractNumId w:val="13"/>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ebert+Talaš">
    <w15:presenceInfo w15:providerId="None" w15:userId="Siebert+Tala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mirrorMargins/>
  <w:proofState w:spelling="clean" w:grammar="clean"/>
  <w:revisionView w:markup="0"/>
  <w:defaultTabStop w:val="142"/>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B14"/>
    <w:rsid w:val="00000898"/>
    <w:rsid w:val="00000C37"/>
    <w:rsid w:val="00001AAB"/>
    <w:rsid w:val="00004C6E"/>
    <w:rsid w:val="00005B49"/>
    <w:rsid w:val="00005FCA"/>
    <w:rsid w:val="000122E0"/>
    <w:rsid w:val="00013A75"/>
    <w:rsid w:val="00013B09"/>
    <w:rsid w:val="0001425D"/>
    <w:rsid w:val="00014A94"/>
    <w:rsid w:val="0001680F"/>
    <w:rsid w:val="00026377"/>
    <w:rsid w:val="0002646E"/>
    <w:rsid w:val="00027F00"/>
    <w:rsid w:val="000307FD"/>
    <w:rsid w:val="00030D0E"/>
    <w:rsid w:val="00031494"/>
    <w:rsid w:val="0003165B"/>
    <w:rsid w:val="000318F8"/>
    <w:rsid w:val="00032014"/>
    <w:rsid w:val="00033AC0"/>
    <w:rsid w:val="00034AD2"/>
    <w:rsid w:val="00036014"/>
    <w:rsid w:val="00036C57"/>
    <w:rsid w:val="00041ABB"/>
    <w:rsid w:val="00041AD9"/>
    <w:rsid w:val="00041FB9"/>
    <w:rsid w:val="000425B6"/>
    <w:rsid w:val="00042F27"/>
    <w:rsid w:val="00044B33"/>
    <w:rsid w:val="00045ADD"/>
    <w:rsid w:val="0004624C"/>
    <w:rsid w:val="00047E7C"/>
    <w:rsid w:val="000512A1"/>
    <w:rsid w:val="0005144B"/>
    <w:rsid w:val="00051685"/>
    <w:rsid w:val="00053F45"/>
    <w:rsid w:val="00053FA6"/>
    <w:rsid w:val="000564C8"/>
    <w:rsid w:val="00057330"/>
    <w:rsid w:val="00060D79"/>
    <w:rsid w:val="0006353C"/>
    <w:rsid w:val="000673C1"/>
    <w:rsid w:val="000674D0"/>
    <w:rsid w:val="00067AF2"/>
    <w:rsid w:val="00067C7B"/>
    <w:rsid w:val="00070765"/>
    <w:rsid w:val="00070E35"/>
    <w:rsid w:val="0007375D"/>
    <w:rsid w:val="000741FD"/>
    <w:rsid w:val="00074632"/>
    <w:rsid w:val="0007659D"/>
    <w:rsid w:val="00076837"/>
    <w:rsid w:val="000771EF"/>
    <w:rsid w:val="0008006B"/>
    <w:rsid w:val="00080EC3"/>
    <w:rsid w:val="000831AA"/>
    <w:rsid w:val="00083A31"/>
    <w:rsid w:val="00083F4C"/>
    <w:rsid w:val="00084795"/>
    <w:rsid w:val="00084D11"/>
    <w:rsid w:val="00087615"/>
    <w:rsid w:val="000876A8"/>
    <w:rsid w:val="000A21B6"/>
    <w:rsid w:val="000A2F51"/>
    <w:rsid w:val="000A4029"/>
    <w:rsid w:val="000A6765"/>
    <w:rsid w:val="000A749F"/>
    <w:rsid w:val="000B033A"/>
    <w:rsid w:val="000B1B0B"/>
    <w:rsid w:val="000B1DF1"/>
    <w:rsid w:val="000B21BF"/>
    <w:rsid w:val="000B2BD4"/>
    <w:rsid w:val="000B3A1F"/>
    <w:rsid w:val="000B4877"/>
    <w:rsid w:val="000B513B"/>
    <w:rsid w:val="000B7003"/>
    <w:rsid w:val="000B7CED"/>
    <w:rsid w:val="000C260E"/>
    <w:rsid w:val="000C621D"/>
    <w:rsid w:val="000C7271"/>
    <w:rsid w:val="000C7325"/>
    <w:rsid w:val="000C7B95"/>
    <w:rsid w:val="000D0285"/>
    <w:rsid w:val="000D2EF5"/>
    <w:rsid w:val="000D6A8C"/>
    <w:rsid w:val="000D6FA7"/>
    <w:rsid w:val="000E3041"/>
    <w:rsid w:val="000E40A7"/>
    <w:rsid w:val="000E564A"/>
    <w:rsid w:val="000E70F4"/>
    <w:rsid w:val="000F14EC"/>
    <w:rsid w:val="000F1907"/>
    <w:rsid w:val="000F1B23"/>
    <w:rsid w:val="000F2479"/>
    <w:rsid w:val="000F3774"/>
    <w:rsid w:val="000F518E"/>
    <w:rsid w:val="000F6020"/>
    <w:rsid w:val="000F61A3"/>
    <w:rsid w:val="00101502"/>
    <w:rsid w:val="00101C00"/>
    <w:rsid w:val="00106E52"/>
    <w:rsid w:val="001128DA"/>
    <w:rsid w:val="00115F0F"/>
    <w:rsid w:val="00116947"/>
    <w:rsid w:val="001169B8"/>
    <w:rsid w:val="00120AFE"/>
    <w:rsid w:val="00124FE0"/>
    <w:rsid w:val="00127D4B"/>
    <w:rsid w:val="00131511"/>
    <w:rsid w:val="00131EC8"/>
    <w:rsid w:val="00133C7B"/>
    <w:rsid w:val="00135773"/>
    <w:rsid w:val="00137508"/>
    <w:rsid w:val="00137A42"/>
    <w:rsid w:val="00140BB9"/>
    <w:rsid w:val="00142F4C"/>
    <w:rsid w:val="001456BF"/>
    <w:rsid w:val="00145B56"/>
    <w:rsid w:val="001476B6"/>
    <w:rsid w:val="00150E8C"/>
    <w:rsid w:val="00152307"/>
    <w:rsid w:val="00153C0E"/>
    <w:rsid w:val="00154682"/>
    <w:rsid w:val="00155AA4"/>
    <w:rsid w:val="00157DEC"/>
    <w:rsid w:val="0016590C"/>
    <w:rsid w:val="00166097"/>
    <w:rsid w:val="0017101F"/>
    <w:rsid w:val="0017126F"/>
    <w:rsid w:val="00171724"/>
    <w:rsid w:val="00171B16"/>
    <w:rsid w:val="00174878"/>
    <w:rsid w:val="0018163C"/>
    <w:rsid w:val="0018169E"/>
    <w:rsid w:val="00183015"/>
    <w:rsid w:val="001904E9"/>
    <w:rsid w:val="00190D08"/>
    <w:rsid w:val="00193224"/>
    <w:rsid w:val="00193D8D"/>
    <w:rsid w:val="00194CC9"/>
    <w:rsid w:val="00195971"/>
    <w:rsid w:val="00196EB5"/>
    <w:rsid w:val="00197561"/>
    <w:rsid w:val="0019756E"/>
    <w:rsid w:val="001A1213"/>
    <w:rsid w:val="001A1658"/>
    <w:rsid w:val="001A16C5"/>
    <w:rsid w:val="001A2758"/>
    <w:rsid w:val="001A498C"/>
    <w:rsid w:val="001A4ACD"/>
    <w:rsid w:val="001A6DEF"/>
    <w:rsid w:val="001B082E"/>
    <w:rsid w:val="001B2E01"/>
    <w:rsid w:val="001B3047"/>
    <w:rsid w:val="001B319A"/>
    <w:rsid w:val="001B3427"/>
    <w:rsid w:val="001B44A8"/>
    <w:rsid w:val="001B57E3"/>
    <w:rsid w:val="001C0A07"/>
    <w:rsid w:val="001C2F2D"/>
    <w:rsid w:val="001C5E88"/>
    <w:rsid w:val="001C6A33"/>
    <w:rsid w:val="001C763A"/>
    <w:rsid w:val="001C7B0A"/>
    <w:rsid w:val="001D15EA"/>
    <w:rsid w:val="001D5179"/>
    <w:rsid w:val="001D5F84"/>
    <w:rsid w:val="001D6E0E"/>
    <w:rsid w:val="001E45D5"/>
    <w:rsid w:val="001E4B7D"/>
    <w:rsid w:val="001E6502"/>
    <w:rsid w:val="001E7275"/>
    <w:rsid w:val="001E762C"/>
    <w:rsid w:val="001F0604"/>
    <w:rsid w:val="001F4241"/>
    <w:rsid w:val="001F53C4"/>
    <w:rsid w:val="001F5A2A"/>
    <w:rsid w:val="001F5D30"/>
    <w:rsid w:val="001F73AB"/>
    <w:rsid w:val="0020263E"/>
    <w:rsid w:val="00207921"/>
    <w:rsid w:val="00210B72"/>
    <w:rsid w:val="002118B3"/>
    <w:rsid w:val="00215C9E"/>
    <w:rsid w:val="0021796C"/>
    <w:rsid w:val="0022034C"/>
    <w:rsid w:val="0022094D"/>
    <w:rsid w:val="002214E5"/>
    <w:rsid w:val="00224121"/>
    <w:rsid w:val="00224BD1"/>
    <w:rsid w:val="00225A63"/>
    <w:rsid w:val="00226A94"/>
    <w:rsid w:val="002274BC"/>
    <w:rsid w:val="002305ED"/>
    <w:rsid w:val="002307C6"/>
    <w:rsid w:val="00230C65"/>
    <w:rsid w:val="002318C2"/>
    <w:rsid w:val="002322D2"/>
    <w:rsid w:val="00233D0B"/>
    <w:rsid w:val="00235462"/>
    <w:rsid w:val="002370CD"/>
    <w:rsid w:val="00237250"/>
    <w:rsid w:val="002400FC"/>
    <w:rsid w:val="00244324"/>
    <w:rsid w:val="002446E8"/>
    <w:rsid w:val="0024524A"/>
    <w:rsid w:val="0024542E"/>
    <w:rsid w:val="00245BF6"/>
    <w:rsid w:val="00247F22"/>
    <w:rsid w:val="002510DA"/>
    <w:rsid w:val="002515DB"/>
    <w:rsid w:val="00251EAD"/>
    <w:rsid w:val="0025574F"/>
    <w:rsid w:val="00255FA3"/>
    <w:rsid w:val="002600D3"/>
    <w:rsid w:val="00264048"/>
    <w:rsid w:val="002647FC"/>
    <w:rsid w:val="00264A1B"/>
    <w:rsid w:val="0026702C"/>
    <w:rsid w:val="00267427"/>
    <w:rsid w:val="00270202"/>
    <w:rsid w:val="00270AFE"/>
    <w:rsid w:val="0027187D"/>
    <w:rsid w:val="00271950"/>
    <w:rsid w:val="002727A2"/>
    <w:rsid w:val="00274243"/>
    <w:rsid w:val="00274748"/>
    <w:rsid w:val="0027543D"/>
    <w:rsid w:val="00275588"/>
    <w:rsid w:val="00275969"/>
    <w:rsid w:val="00275BAE"/>
    <w:rsid w:val="00275F90"/>
    <w:rsid w:val="00277507"/>
    <w:rsid w:val="00277956"/>
    <w:rsid w:val="002808B4"/>
    <w:rsid w:val="00280DCF"/>
    <w:rsid w:val="002820B4"/>
    <w:rsid w:val="002827DB"/>
    <w:rsid w:val="00282B27"/>
    <w:rsid w:val="00282FA6"/>
    <w:rsid w:val="00283F24"/>
    <w:rsid w:val="0028414E"/>
    <w:rsid w:val="00285DC7"/>
    <w:rsid w:val="00286D6F"/>
    <w:rsid w:val="002876D1"/>
    <w:rsid w:val="00292FD6"/>
    <w:rsid w:val="00294035"/>
    <w:rsid w:val="00295612"/>
    <w:rsid w:val="0029691A"/>
    <w:rsid w:val="002A044D"/>
    <w:rsid w:val="002A1FCF"/>
    <w:rsid w:val="002A54C7"/>
    <w:rsid w:val="002A7E76"/>
    <w:rsid w:val="002B2E62"/>
    <w:rsid w:val="002B55F2"/>
    <w:rsid w:val="002B79F9"/>
    <w:rsid w:val="002C55F2"/>
    <w:rsid w:val="002C56D5"/>
    <w:rsid w:val="002C5D4B"/>
    <w:rsid w:val="002D01F6"/>
    <w:rsid w:val="002D0C9C"/>
    <w:rsid w:val="002D1DDF"/>
    <w:rsid w:val="002D56B6"/>
    <w:rsid w:val="002D5BF2"/>
    <w:rsid w:val="002D74E4"/>
    <w:rsid w:val="002E00A3"/>
    <w:rsid w:val="002E0972"/>
    <w:rsid w:val="002E1132"/>
    <w:rsid w:val="002E166D"/>
    <w:rsid w:val="002E1822"/>
    <w:rsid w:val="002E1F9D"/>
    <w:rsid w:val="002E26C6"/>
    <w:rsid w:val="002E337B"/>
    <w:rsid w:val="002E3AA8"/>
    <w:rsid w:val="002E4653"/>
    <w:rsid w:val="002E4981"/>
    <w:rsid w:val="002E4F1D"/>
    <w:rsid w:val="002E5659"/>
    <w:rsid w:val="002E7277"/>
    <w:rsid w:val="002E7722"/>
    <w:rsid w:val="002E7EE2"/>
    <w:rsid w:val="002F0965"/>
    <w:rsid w:val="002F3524"/>
    <w:rsid w:val="002F6467"/>
    <w:rsid w:val="0030007C"/>
    <w:rsid w:val="00300BCB"/>
    <w:rsid w:val="003020CE"/>
    <w:rsid w:val="003054E9"/>
    <w:rsid w:val="003062FE"/>
    <w:rsid w:val="00311A6C"/>
    <w:rsid w:val="003163A4"/>
    <w:rsid w:val="003179C2"/>
    <w:rsid w:val="00322CCD"/>
    <w:rsid w:val="00326797"/>
    <w:rsid w:val="00326BEB"/>
    <w:rsid w:val="003316DD"/>
    <w:rsid w:val="00332081"/>
    <w:rsid w:val="0033286C"/>
    <w:rsid w:val="0034343D"/>
    <w:rsid w:val="00344760"/>
    <w:rsid w:val="00344AB0"/>
    <w:rsid w:val="00344F94"/>
    <w:rsid w:val="00345AA2"/>
    <w:rsid w:val="00350FFF"/>
    <w:rsid w:val="0035178C"/>
    <w:rsid w:val="00351D02"/>
    <w:rsid w:val="0035462F"/>
    <w:rsid w:val="00354B91"/>
    <w:rsid w:val="003554F8"/>
    <w:rsid w:val="0035721A"/>
    <w:rsid w:val="00361194"/>
    <w:rsid w:val="0036394C"/>
    <w:rsid w:val="00365A70"/>
    <w:rsid w:val="0036641E"/>
    <w:rsid w:val="00367330"/>
    <w:rsid w:val="00367F10"/>
    <w:rsid w:val="003714B7"/>
    <w:rsid w:val="00372BE9"/>
    <w:rsid w:val="00372DFD"/>
    <w:rsid w:val="00373E07"/>
    <w:rsid w:val="00374A16"/>
    <w:rsid w:val="00374A8C"/>
    <w:rsid w:val="00374B3B"/>
    <w:rsid w:val="00377132"/>
    <w:rsid w:val="00380F3A"/>
    <w:rsid w:val="003813B7"/>
    <w:rsid w:val="0038200E"/>
    <w:rsid w:val="00382BAF"/>
    <w:rsid w:val="003833DA"/>
    <w:rsid w:val="003843C2"/>
    <w:rsid w:val="003859D6"/>
    <w:rsid w:val="00385B82"/>
    <w:rsid w:val="003879FF"/>
    <w:rsid w:val="00391699"/>
    <w:rsid w:val="003923F7"/>
    <w:rsid w:val="00395441"/>
    <w:rsid w:val="00396701"/>
    <w:rsid w:val="00397251"/>
    <w:rsid w:val="003A018E"/>
    <w:rsid w:val="003A2554"/>
    <w:rsid w:val="003A269A"/>
    <w:rsid w:val="003A3DDF"/>
    <w:rsid w:val="003A5287"/>
    <w:rsid w:val="003A5A5C"/>
    <w:rsid w:val="003A682C"/>
    <w:rsid w:val="003A7925"/>
    <w:rsid w:val="003B480A"/>
    <w:rsid w:val="003B4A45"/>
    <w:rsid w:val="003B5016"/>
    <w:rsid w:val="003B554B"/>
    <w:rsid w:val="003B7A99"/>
    <w:rsid w:val="003B7CE6"/>
    <w:rsid w:val="003C17EB"/>
    <w:rsid w:val="003C1F67"/>
    <w:rsid w:val="003C231A"/>
    <w:rsid w:val="003C281D"/>
    <w:rsid w:val="003C29EF"/>
    <w:rsid w:val="003C46DD"/>
    <w:rsid w:val="003C7660"/>
    <w:rsid w:val="003D263E"/>
    <w:rsid w:val="003D38DC"/>
    <w:rsid w:val="003D4B9B"/>
    <w:rsid w:val="003D5EFE"/>
    <w:rsid w:val="003D77E5"/>
    <w:rsid w:val="003E0E1A"/>
    <w:rsid w:val="003E13DB"/>
    <w:rsid w:val="003E2356"/>
    <w:rsid w:val="003E235D"/>
    <w:rsid w:val="003E2900"/>
    <w:rsid w:val="003E2BF5"/>
    <w:rsid w:val="003E4A1B"/>
    <w:rsid w:val="003E64F5"/>
    <w:rsid w:val="003F3716"/>
    <w:rsid w:val="003F43D2"/>
    <w:rsid w:val="003F4E78"/>
    <w:rsid w:val="003F53D8"/>
    <w:rsid w:val="003F63DA"/>
    <w:rsid w:val="004003DF"/>
    <w:rsid w:val="00402488"/>
    <w:rsid w:val="00403A16"/>
    <w:rsid w:val="004058B0"/>
    <w:rsid w:val="00405C6D"/>
    <w:rsid w:val="00406981"/>
    <w:rsid w:val="00410B50"/>
    <w:rsid w:val="00410D15"/>
    <w:rsid w:val="00411CDC"/>
    <w:rsid w:val="00414976"/>
    <w:rsid w:val="004163BD"/>
    <w:rsid w:val="00420A0F"/>
    <w:rsid w:val="00422A9F"/>
    <w:rsid w:val="00422DF2"/>
    <w:rsid w:val="0042674C"/>
    <w:rsid w:val="004267E0"/>
    <w:rsid w:val="0043118B"/>
    <w:rsid w:val="00431E0C"/>
    <w:rsid w:val="00432418"/>
    <w:rsid w:val="0043261F"/>
    <w:rsid w:val="004349C9"/>
    <w:rsid w:val="00434D8C"/>
    <w:rsid w:val="00437A80"/>
    <w:rsid w:val="00437F92"/>
    <w:rsid w:val="00440437"/>
    <w:rsid w:val="00440454"/>
    <w:rsid w:val="00440735"/>
    <w:rsid w:val="00442C1D"/>
    <w:rsid w:val="00442FA8"/>
    <w:rsid w:val="00444333"/>
    <w:rsid w:val="004449AD"/>
    <w:rsid w:val="00447243"/>
    <w:rsid w:val="004504E5"/>
    <w:rsid w:val="0045221C"/>
    <w:rsid w:val="00454D4F"/>
    <w:rsid w:val="00456981"/>
    <w:rsid w:val="00456F0D"/>
    <w:rsid w:val="00457CC0"/>
    <w:rsid w:val="00457DA3"/>
    <w:rsid w:val="0046094F"/>
    <w:rsid w:val="00461AED"/>
    <w:rsid w:val="00465A73"/>
    <w:rsid w:val="00465DAE"/>
    <w:rsid w:val="0046738C"/>
    <w:rsid w:val="004676E0"/>
    <w:rsid w:val="00470F20"/>
    <w:rsid w:val="00472104"/>
    <w:rsid w:val="00473286"/>
    <w:rsid w:val="0047557D"/>
    <w:rsid w:val="00476354"/>
    <w:rsid w:val="0048477A"/>
    <w:rsid w:val="00484F46"/>
    <w:rsid w:val="00485E7F"/>
    <w:rsid w:val="0049030B"/>
    <w:rsid w:val="00490C89"/>
    <w:rsid w:val="004955E1"/>
    <w:rsid w:val="0049695D"/>
    <w:rsid w:val="00496E9E"/>
    <w:rsid w:val="0049736D"/>
    <w:rsid w:val="004A045B"/>
    <w:rsid w:val="004A0732"/>
    <w:rsid w:val="004A2588"/>
    <w:rsid w:val="004A40CE"/>
    <w:rsid w:val="004A5BCD"/>
    <w:rsid w:val="004A7E87"/>
    <w:rsid w:val="004B0F25"/>
    <w:rsid w:val="004B48FF"/>
    <w:rsid w:val="004B4F08"/>
    <w:rsid w:val="004B79F4"/>
    <w:rsid w:val="004C19CF"/>
    <w:rsid w:val="004C1E3C"/>
    <w:rsid w:val="004C5473"/>
    <w:rsid w:val="004C6E9E"/>
    <w:rsid w:val="004C7D79"/>
    <w:rsid w:val="004D0093"/>
    <w:rsid w:val="004D0AB2"/>
    <w:rsid w:val="004D355C"/>
    <w:rsid w:val="004D390E"/>
    <w:rsid w:val="004D4D52"/>
    <w:rsid w:val="004D6E4E"/>
    <w:rsid w:val="004D70DA"/>
    <w:rsid w:val="004D7F0D"/>
    <w:rsid w:val="004E0ECB"/>
    <w:rsid w:val="004E13C0"/>
    <w:rsid w:val="004E1FBF"/>
    <w:rsid w:val="004E212C"/>
    <w:rsid w:val="004E2320"/>
    <w:rsid w:val="004E5C7A"/>
    <w:rsid w:val="004E62A9"/>
    <w:rsid w:val="004F09E3"/>
    <w:rsid w:val="004F12FE"/>
    <w:rsid w:val="004F1371"/>
    <w:rsid w:val="004F6122"/>
    <w:rsid w:val="004F6E97"/>
    <w:rsid w:val="004F71F3"/>
    <w:rsid w:val="004F72FC"/>
    <w:rsid w:val="005021D2"/>
    <w:rsid w:val="0050224F"/>
    <w:rsid w:val="00503A8E"/>
    <w:rsid w:val="00503BEF"/>
    <w:rsid w:val="00504526"/>
    <w:rsid w:val="00504824"/>
    <w:rsid w:val="00510CE5"/>
    <w:rsid w:val="00511E28"/>
    <w:rsid w:val="005146D0"/>
    <w:rsid w:val="005155FD"/>
    <w:rsid w:val="00515AE6"/>
    <w:rsid w:val="00516452"/>
    <w:rsid w:val="00521E97"/>
    <w:rsid w:val="005258EF"/>
    <w:rsid w:val="0052640E"/>
    <w:rsid w:val="00526D64"/>
    <w:rsid w:val="00527432"/>
    <w:rsid w:val="0053013A"/>
    <w:rsid w:val="00530150"/>
    <w:rsid w:val="00533C03"/>
    <w:rsid w:val="00533C5C"/>
    <w:rsid w:val="00535E60"/>
    <w:rsid w:val="00536923"/>
    <w:rsid w:val="0054107E"/>
    <w:rsid w:val="00541D0C"/>
    <w:rsid w:val="0054260A"/>
    <w:rsid w:val="00542CFE"/>
    <w:rsid w:val="0054322C"/>
    <w:rsid w:val="00545CD4"/>
    <w:rsid w:val="00546C4E"/>
    <w:rsid w:val="00546D14"/>
    <w:rsid w:val="00550FAF"/>
    <w:rsid w:val="00551BB5"/>
    <w:rsid w:val="00552F39"/>
    <w:rsid w:val="005539C1"/>
    <w:rsid w:val="00553BD5"/>
    <w:rsid w:val="00553FC0"/>
    <w:rsid w:val="00554BBD"/>
    <w:rsid w:val="00555226"/>
    <w:rsid w:val="00555E19"/>
    <w:rsid w:val="00556E32"/>
    <w:rsid w:val="00562463"/>
    <w:rsid w:val="00563D99"/>
    <w:rsid w:val="00565853"/>
    <w:rsid w:val="00566D1F"/>
    <w:rsid w:val="00567351"/>
    <w:rsid w:val="00567944"/>
    <w:rsid w:val="00567E6B"/>
    <w:rsid w:val="00567EBF"/>
    <w:rsid w:val="0057071D"/>
    <w:rsid w:val="00570D3F"/>
    <w:rsid w:val="00570DE9"/>
    <w:rsid w:val="00571517"/>
    <w:rsid w:val="00573577"/>
    <w:rsid w:val="00575E8D"/>
    <w:rsid w:val="00577403"/>
    <w:rsid w:val="00583C68"/>
    <w:rsid w:val="005864C4"/>
    <w:rsid w:val="00587A95"/>
    <w:rsid w:val="00591DCE"/>
    <w:rsid w:val="005923CF"/>
    <w:rsid w:val="00592472"/>
    <w:rsid w:val="00592B28"/>
    <w:rsid w:val="00592F37"/>
    <w:rsid w:val="005945C5"/>
    <w:rsid w:val="00594A47"/>
    <w:rsid w:val="0059610C"/>
    <w:rsid w:val="00596C37"/>
    <w:rsid w:val="00596FE0"/>
    <w:rsid w:val="005A258F"/>
    <w:rsid w:val="005A5573"/>
    <w:rsid w:val="005A5A6D"/>
    <w:rsid w:val="005A7D19"/>
    <w:rsid w:val="005B0D88"/>
    <w:rsid w:val="005B1524"/>
    <w:rsid w:val="005B48A3"/>
    <w:rsid w:val="005B4B4B"/>
    <w:rsid w:val="005B7559"/>
    <w:rsid w:val="005B780E"/>
    <w:rsid w:val="005B7969"/>
    <w:rsid w:val="005B7E5A"/>
    <w:rsid w:val="005C23AF"/>
    <w:rsid w:val="005C2BBE"/>
    <w:rsid w:val="005C3303"/>
    <w:rsid w:val="005C3F66"/>
    <w:rsid w:val="005C495F"/>
    <w:rsid w:val="005C5D35"/>
    <w:rsid w:val="005C62D4"/>
    <w:rsid w:val="005C6929"/>
    <w:rsid w:val="005C6D62"/>
    <w:rsid w:val="005C762C"/>
    <w:rsid w:val="005C7E2A"/>
    <w:rsid w:val="005D22F1"/>
    <w:rsid w:val="005D5B77"/>
    <w:rsid w:val="005D6E57"/>
    <w:rsid w:val="005D716B"/>
    <w:rsid w:val="005E16A4"/>
    <w:rsid w:val="005E34C4"/>
    <w:rsid w:val="005E37A9"/>
    <w:rsid w:val="005E3EF6"/>
    <w:rsid w:val="005E6C9C"/>
    <w:rsid w:val="005F3146"/>
    <w:rsid w:val="005F3C88"/>
    <w:rsid w:val="005F551F"/>
    <w:rsid w:val="005F5C06"/>
    <w:rsid w:val="005F6091"/>
    <w:rsid w:val="005F751E"/>
    <w:rsid w:val="00602C44"/>
    <w:rsid w:val="00605742"/>
    <w:rsid w:val="00607B43"/>
    <w:rsid w:val="00611859"/>
    <w:rsid w:val="00612A2A"/>
    <w:rsid w:val="00612AB1"/>
    <w:rsid w:val="006142DA"/>
    <w:rsid w:val="00616270"/>
    <w:rsid w:val="00617053"/>
    <w:rsid w:val="006172DE"/>
    <w:rsid w:val="00617E6E"/>
    <w:rsid w:val="00625B8F"/>
    <w:rsid w:val="006270AC"/>
    <w:rsid w:val="00627826"/>
    <w:rsid w:val="00631CF4"/>
    <w:rsid w:val="00632870"/>
    <w:rsid w:val="006332ED"/>
    <w:rsid w:val="0063413E"/>
    <w:rsid w:val="00642566"/>
    <w:rsid w:val="00642F3F"/>
    <w:rsid w:val="006435F0"/>
    <w:rsid w:val="0064427A"/>
    <w:rsid w:val="00645031"/>
    <w:rsid w:val="00647453"/>
    <w:rsid w:val="00650F89"/>
    <w:rsid w:val="00650FFD"/>
    <w:rsid w:val="0065195A"/>
    <w:rsid w:val="00651A0B"/>
    <w:rsid w:val="00652363"/>
    <w:rsid w:val="0065322B"/>
    <w:rsid w:val="00653C6E"/>
    <w:rsid w:val="00654CC9"/>
    <w:rsid w:val="00656412"/>
    <w:rsid w:val="0065664A"/>
    <w:rsid w:val="00656790"/>
    <w:rsid w:val="00662D0A"/>
    <w:rsid w:val="00663738"/>
    <w:rsid w:val="0066377E"/>
    <w:rsid w:val="00666055"/>
    <w:rsid w:val="006706BA"/>
    <w:rsid w:val="00671209"/>
    <w:rsid w:val="0067211C"/>
    <w:rsid w:val="00672A20"/>
    <w:rsid w:val="006733C5"/>
    <w:rsid w:val="006733F3"/>
    <w:rsid w:val="0067537F"/>
    <w:rsid w:val="00676500"/>
    <w:rsid w:val="00676EE9"/>
    <w:rsid w:val="0067767F"/>
    <w:rsid w:val="00680FDF"/>
    <w:rsid w:val="00681215"/>
    <w:rsid w:val="006846B3"/>
    <w:rsid w:val="0068639E"/>
    <w:rsid w:val="00686C7E"/>
    <w:rsid w:val="0068741B"/>
    <w:rsid w:val="00690F2C"/>
    <w:rsid w:val="00691812"/>
    <w:rsid w:val="006918BD"/>
    <w:rsid w:val="006921D0"/>
    <w:rsid w:val="00692C1F"/>
    <w:rsid w:val="00692C6D"/>
    <w:rsid w:val="00692CF5"/>
    <w:rsid w:val="00693CF0"/>
    <w:rsid w:val="00695A44"/>
    <w:rsid w:val="00697240"/>
    <w:rsid w:val="006A1B45"/>
    <w:rsid w:val="006A2D44"/>
    <w:rsid w:val="006A3A82"/>
    <w:rsid w:val="006A6CFC"/>
    <w:rsid w:val="006A7D6B"/>
    <w:rsid w:val="006B276F"/>
    <w:rsid w:val="006B421C"/>
    <w:rsid w:val="006C1329"/>
    <w:rsid w:val="006C2527"/>
    <w:rsid w:val="006D0F7E"/>
    <w:rsid w:val="006D2C26"/>
    <w:rsid w:val="006D2D88"/>
    <w:rsid w:val="006D7484"/>
    <w:rsid w:val="006D786A"/>
    <w:rsid w:val="006D7B87"/>
    <w:rsid w:val="006E53F7"/>
    <w:rsid w:val="006E5A10"/>
    <w:rsid w:val="006E661E"/>
    <w:rsid w:val="006E66CA"/>
    <w:rsid w:val="006E7028"/>
    <w:rsid w:val="006F0CB1"/>
    <w:rsid w:val="006F126C"/>
    <w:rsid w:val="006F2A2E"/>
    <w:rsid w:val="006F2B4B"/>
    <w:rsid w:val="006F39CB"/>
    <w:rsid w:val="006F3B49"/>
    <w:rsid w:val="00701082"/>
    <w:rsid w:val="00701E2B"/>
    <w:rsid w:val="00704A2F"/>
    <w:rsid w:val="007126B5"/>
    <w:rsid w:val="00713E41"/>
    <w:rsid w:val="00714224"/>
    <w:rsid w:val="00717923"/>
    <w:rsid w:val="007179AB"/>
    <w:rsid w:val="007204FD"/>
    <w:rsid w:val="00720A80"/>
    <w:rsid w:val="00720D6D"/>
    <w:rsid w:val="00721323"/>
    <w:rsid w:val="00721C81"/>
    <w:rsid w:val="00721EAF"/>
    <w:rsid w:val="00722072"/>
    <w:rsid w:val="00722A62"/>
    <w:rsid w:val="00723F65"/>
    <w:rsid w:val="00732E2F"/>
    <w:rsid w:val="00732E80"/>
    <w:rsid w:val="0073341C"/>
    <w:rsid w:val="00737DEF"/>
    <w:rsid w:val="00737FF9"/>
    <w:rsid w:val="0074026A"/>
    <w:rsid w:val="00740C81"/>
    <w:rsid w:val="00740C8F"/>
    <w:rsid w:val="00741A40"/>
    <w:rsid w:val="0074262F"/>
    <w:rsid w:val="00745B78"/>
    <w:rsid w:val="00745DEB"/>
    <w:rsid w:val="00747AD3"/>
    <w:rsid w:val="00751472"/>
    <w:rsid w:val="00754228"/>
    <w:rsid w:val="00755720"/>
    <w:rsid w:val="00755CDD"/>
    <w:rsid w:val="00757D97"/>
    <w:rsid w:val="007600C9"/>
    <w:rsid w:val="00760A44"/>
    <w:rsid w:val="00761CB4"/>
    <w:rsid w:val="007637DD"/>
    <w:rsid w:val="007640C0"/>
    <w:rsid w:val="00765287"/>
    <w:rsid w:val="00771984"/>
    <w:rsid w:val="00771E22"/>
    <w:rsid w:val="0077406B"/>
    <w:rsid w:val="00774571"/>
    <w:rsid w:val="00774ED2"/>
    <w:rsid w:val="00775E1E"/>
    <w:rsid w:val="0077636F"/>
    <w:rsid w:val="00776DFA"/>
    <w:rsid w:val="00780343"/>
    <w:rsid w:val="007822B3"/>
    <w:rsid w:val="0078325F"/>
    <w:rsid w:val="007833E8"/>
    <w:rsid w:val="00783E01"/>
    <w:rsid w:val="007847B4"/>
    <w:rsid w:val="00786072"/>
    <w:rsid w:val="007873E0"/>
    <w:rsid w:val="007876FC"/>
    <w:rsid w:val="007912F4"/>
    <w:rsid w:val="00793B16"/>
    <w:rsid w:val="00795D0B"/>
    <w:rsid w:val="00797AEE"/>
    <w:rsid w:val="007A435C"/>
    <w:rsid w:val="007A4622"/>
    <w:rsid w:val="007A5753"/>
    <w:rsid w:val="007B0268"/>
    <w:rsid w:val="007B0686"/>
    <w:rsid w:val="007B19A4"/>
    <w:rsid w:val="007B42E9"/>
    <w:rsid w:val="007B53C8"/>
    <w:rsid w:val="007B6FFA"/>
    <w:rsid w:val="007B70CB"/>
    <w:rsid w:val="007B769B"/>
    <w:rsid w:val="007B7FD4"/>
    <w:rsid w:val="007C011B"/>
    <w:rsid w:val="007C0FAD"/>
    <w:rsid w:val="007C1F5E"/>
    <w:rsid w:val="007C20D1"/>
    <w:rsid w:val="007C2B39"/>
    <w:rsid w:val="007C7385"/>
    <w:rsid w:val="007D0077"/>
    <w:rsid w:val="007D181B"/>
    <w:rsid w:val="007D1987"/>
    <w:rsid w:val="007D2CEC"/>
    <w:rsid w:val="007D3D4B"/>
    <w:rsid w:val="007D490A"/>
    <w:rsid w:val="007D50F2"/>
    <w:rsid w:val="007E06D6"/>
    <w:rsid w:val="007E0D72"/>
    <w:rsid w:val="007E16D4"/>
    <w:rsid w:val="007E17E3"/>
    <w:rsid w:val="007E3EA1"/>
    <w:rsid w:val="007E4939"/>
    <w:rsid w:val="007E67FD"/>
    <w:rsid w:val="007F058C"/>
    <w:rsid w:val="007F0FFC"/>
    <w:rsid w:val="007F1000"/>
    <w:rsid w:val="007F230E"/>
    <w:rsid w:val="007F4F1A"/>
    <w:rsid w:val="00800715"/>
    <w:rsid w:val="0080263C"/>
    <w:rsid w:val="00803F8F"/>
    <w:rsid w:val="00804C98"/>
    <w:rsid w:val="00812B0E"/>
    <w:rsid w:val="0081462D"/>
    <w:rsid w:val="00814832"/>
    <w:rsid w:val="00815A36"/>
    <w:rsid w:val="00822DE8"/>
    <w:rsid w:val="00823472"/>
    <w:rsid w:val="00830436"/>
    <w:rsid w:val="00835308"/>
    <w:rsid w:val="0083658A"/>
    <w:rsid w:val="0083747E"/>
    <w:rsid w:val="00842AB7"/>
    <w:rsid w:val="0084625C"/>
    <w:rsid w:val="0085141C"/>
    <w:rsid w:val="00851A27"/>
    <w:rsid w:val="00852384"/>
    <w:rsid w:val="0085559A"/>
    <w:rsid w:val="00856844"/>
    <w:rsid w:val="008577B6"/>
    <w:rsid w:val="0086268B"/>
    <w:rsid w:val="00864BDA"/>
    <w:rsid w:val="00865CFC"/>
    <w:rsid w:val="00866726"/>
    <w:rsid w:val="00866A55"/>
    <w:rsid w:val="008678AE"/>
    <w:rsid w:val="00870B4B"/>
    <w:rsid w:val="00870ECB"/>
    <w:rsid w:val="00872A21"/>
    <w:rsid w:val="00873C5D"/>
    <w:rsid w:val="00875A46"/>
    <w:rsid w:val="008762A5"/>
    <w:rsid w:val="00876539"/>
    <w:rsid w:val="00880295"/>
    <w:rsid w:val="0088305E"/>
    <w:rsid w:val="00883FBA"/>
    <w:rsid w:val="00884A86"/>
    <w:rsid w:val="008854A0"/>
    <w:rsid w:val="008857E0"/>
    <w:rsid w:val="008866A5"/>
    <w:rsid w:val="00887D81"/>
    <w:rsid w:val="00890D6B"/>
    <w:rsid w:val="00891031"/>
    <w:rsid w:val="008A14A7"/>
    <w:rsid w:val="008A3BB8"/>
    <w:rsid w:val="008A7B34"/>
    <w:rsid w:val="008B03A5"/>
    <w:rsid w:val="008B348E"/>
    <w:rsid w:val="008B610D"/>
    <w:rsid w:val="008B6CA7"/>
    <w:rsid w:val="008B79BB"/>
    <w:rsid w:val="008C1728"/>
    <w:rsid w:val="008C266F"/>
    <w:rsid w:val="008C3A6B"/>
    <w:rsid w:val="008C5524"/>
    <w:rsid w:val="008C6B65"/>
    <w:rsid w:val="008C6E91"/>
    <w:rsid w:val="008C7592"/>
    <w:rsid w:val="008D041B"/>
    <w:rsid w:val="008D0768"/>
    <w:rsid w:val="008D0833"/>
    <w:rsid w:val="008D280F"/>
    <w:rsid w:val="008D5E1B"/>
    <w:rsid w:val="008D7B0C"/>
    <w:rsid w:val="008E1C93"/>
    <w:rsid w:val="008E2C5B"/>
    <w:rsid w:val="008E546F"/>
    <w:rsid w:val="008E5AD6"/>
    <w:rsid w:val="008E769A"/>
    <w:rsid w:val="008F096D"/>
    <w:rsid w:val="008F1886"/>
    <w:rsid w:val="008F2FBF"/>
    <w:rsid w:val="008F5544"/>
    <w:rsid w:val="008F5B45"/>
    <w:rsid w:val="008F7A35"/>
    <w:rsid w:val="00900221"/>
    <w:rsid w:val="00900B55"/>
    <w:rsid w:val="00903C5F"/>
    <w:rsid w:val="00904061"/>
    <w:rsid w:val="009040F2"/>
    <w:rsid w:val="00904300"/>
    <w:rsid w:val="00904908"/>
    <w:rsid w:val="00905B6A"/>
    <w:rsid w:val="00910098"/>
    <w:rsid w:val="00912CD0"/>
    <w:rsid w:val="009131B7"/>
    <w:rsid w:val="009133ED"/>
    <w:rsid w:val="009158AF"/>
    <w:rsid w:val="009160B2"/>
    <w:rsid w:val="0091699A"/>
    <w:rsid w:val="00916EB7"/>
    <w:rsid w:val="00917E3C"/>
    <w:rsid w:val="00920D3E"/>
    <w:rsid w:val="00921590"/>
    <w:rsid w:val="00925F7E"/>
    <w:rsid w:val="00926293"/>
    <w:rsid w:val="00926CC5"/>
    <w:rsid w:val="00931159"/>
    <w:rsid w:val="0093227D"/>
    <w:rsid w:val="0093691C"/>
    <w:rsid w:val="00937524"/>
    <w:rsid w:val="009429C2"/>
    <w:rsid w:val="00942A51"/>
    <w:rsid w:val="00945E32"/>
    <w:rsid w:val="00947375"/>
    <w:rsid w:val="00954752"/>
    <w:rsid w:val="00954E03"/>
    <w:rsid w:val="00956F5E"/>
    <w:rsid w:val="00960703"/>
    <w:rsid w:val="00960FEC"/>
    <w:rsid w:val="009614DD"/>
    <w:rsid w:val="00961A09"/>
    <w:rsid w:val="009622E1"/>
    <w:rsid w:val="00963579"/>
    <w:rsid w:val="00964669"/>
    <w:rsid w:val="0096556B"/>
    <w:rsid w:val="00971D1D"/>
    <w:rsid w:val="00974F49"/>
    <w:rsid w:val="00976DE3"/>
    <w:rsid w:val="009779E0"/>
    <w:rsid w:val="00977D15"/>
    <w:rsid w:val="00982EBE"/>
    <w:rsid w:val="00984D0E"/>
    <w:rsid w:val="0098545F"/>
    <w:rsid w:val="009859BB"/>
    <w:rsid w:val="009861E1"/>
    <w:rsid w:val="0098706C"/>
    <w:rsid w:val="00987B0D"/>
    <w:rsid w:val="00991141"/>
    <w:rsid w:val="00992303"/>
    <w:rsid w:val="00992903"/>
    <w:rsid w:val="009947D2"/>
    <w:rsid w:val="009950AC"/>
    <w:rsid w:val="00997F1C"/>
    <w:rsid w:val="009A0558"/>
    <w:rsid w:val="009A064C"/>
    <w:rsid w:val="009A2552"/>
    <w:rsid w:val="009A36D0"/>
    <w:rsid w:val="009A725E"/>
    <w:rsid w:val="009A7EEC"/>
    <w:rsid w:val="009B00E9"/>
    <w:rsid w:val="009B02E4"/>
    <w:rsid w:val="009B271D"/>
    <w:rsid w:val="009B2C19"/>
    <w:rsid w:val="009B2E91"/>
    <w:rsid w:val="009B3DC9"/>
    <w:rsid w:val="009B51F4"/>
    <w:rsid w:val="009B7C30"/>
    <w:rsid w:val="009C0A3F"/>
    <w:rsid w:val="009C49F9"/>
    <w:rsid w:val="009C525E"/>
    <w:rsid w:val="009C6439"/>
    <w:rsid w:val="009C6631"/>
    <w:rsid w:val="009D15CD"/>
    <w:rsid w:val="009D173B"/>
    <w:rsid w:val="009D1E5B"/>
    <w:rsid w:val="009D2244"/>
    <w:rsid w:val="009D3086"/>
    <w:rsid w:val="009D3663"/>
    <w:rsid w:val="009D4380"/>
    <w:rsid w:val="009D5D29"/>
    <w:rsid w:val="009D6A28"/>
    <w:rsid w:val="009D7FD6"/>
    <w:rsid w:val="009E6358"/>
    <w:rsid w:val="009E6AAE"/>
    <w:rsid w:val="009F24D7"/>
    <w:rsid w:val="009F671E"/>
    <w:rsid w:val="009F6CBA"/>
    <w:rsid w:val="009F6E5E"/>
    <w:rsid w:val="009F7571"/>
    <w:rsid w:val="00A01773"/>
    <w:rsid w:val="00A10ADC"/>
    <w:rsid w:val="00A12A7D"/>
    <w:rsid w:val="00A1411E"/>
    <w:rsid w:val="00A15723"/>
    <w:rsid w:val="00A15AC5"/>
    <w:rsid w:val="00A15FE7"/>
    <w:rsid w:val="00A2555A"/>
    <w:rsid w:val="00A25EE6"/>
    <w:rsid w:val="00A30EE1"/>
    <w:rsid w:val="00A3232F"/>
    <w:rsid w:val="00A32C73"/>
    <w:rsid w:val="00A337E7"/>
    <w:rsid w:val="00A34EFE"/>
    <w:rsid w:val="00A377A4"/>
    <w:rsid w:val="00A379AB"/>
    <w:rsid w:val="00A37B8F"/>
    <w:rsid w:val="00A41AE5"/>
    <w:rsid w:val="00A41C23"/>
    <w:rsid w:val="00A41E98"/>
    <w:rsid w:val="00A42883"/>
    <w:rsid w:val="00A433F5"/>
    <w:rsid w:val="00A46FC8"/>
    <w:rsid w:val="00A473A5"/>
    <w:rsid w:val="00A4760A"/>
    <w:rsid w:val="00A50DF6"/>
    <w:rsid w:val="00A5117C"/>
    <w:rsid w:val="00A512FD"/>
    <w:rsid w:val="00A5157E"/>
    <w:rsid w:val="00A530C3"/>
    <w:rsid w:val="00A538A7"/>
    <w:rsid w:val="00A57CD0"/>
    <w:rsid w:val="00A61636"/>
    <w:rsid w:val="00A62BD3"/>
    <w:rsid w:val="00A6469B"/>
    <w:rsid w:val="00A6549D"/>
    <w:rsid w:val="00A677A9"/>
    <w:rsid w:val="00A72326"/>
    <w:rsid w:val="00A7349D"/>
    <w:rsid w:val="00A754AF"/>
    <w:rsid w:val="00A82007"/>
    <w:rsid w:val="00A84B42"/>
    <w:rsid w:val="00A85535"/>
    <w:rsid w:val="00A85E56"/>
    <w:rsid w:val="00A86898"/>
    <w:rsid w:val="00A87BF6"/>
    <w:rsid w:val="00A909ED"/>
    <w:rsid w:val="00A90EF5"/>
    <w:rsid w:val="00A9299F"/>
    <w:rsid w:val="00A9351D"/>
    <w:rsid w:val="00A93597"/>
    <w:rsid w:val="00A948D5"/>
    <w:rsid w:val="00A94C96"/>
    <w:rsid w:val="00A94F35"/>
    <w:rsid w:val="00A969D9"/>
    <w:rsid w:val="00A97049"/>
    <w:rsid w:val="00A97728"/>
    <w:rsid w:val="00A9793E"/>
    <w:rsid w:val="00AA4AE9"/>
    <w:rsid w:val="00AA57E5"/>
    <w:rsid w:val="00AA6A6E"/>
    <w:rsid w:val="00AA72FA"/>
    <w:rsid w:val="00AB264F"/>
    <w:rsid w:val="00AB28E2"/>
    <w:rsid w:val="00AB35BE"/>
    <w:rsid w:val="00AB41EE"/>
    <w:rsid w:val="00AB43F5"/>
    <w:rsid w:val="00AB4859"/>
    <w:rsid w:val="00AB4EC8"/>
    <w:rsid w:val="00AC0EC5"/>
    <w:rsid w:val="00AC16D9"/>
    <w:rsid w:val="00AC40C7"/>
    <w:rsid w:val="00AC46E0"/>
    <w:rsid w:val="00AC56BC"/>
    <w:rsid w:val="00AD031A"/>
    <w:rsid w:val="00AD1263"/>
    <w:rsid w:val="00AD1BF5"/>
    <w:rsid w:val="00AD3C18"/>
    <w:rsid w:val="00AD3EA1"/>
    <w:rsid w:val="00AD55D1"/>
    <w:rsid w:val="00AE0A6F"/>
    <w:rsid w:val="00AE3383"/>
    <w:rsid w:val="00AE7974"/>
    <w:rsid w:val="00AE7981"/>
    <w:rsid w:val="00AF068C"/>
    <w:rsid w:val="00AF3CDB"/>
    <w:rsid w:val="00AF4A4C"/>
    <w:rsid w:val="00AF5D80"/>
    <w:rsid w:val="00AF61F5"/>
    <w:rsid w:val="00AF74F3"/>
    <w:rsid w:val="00AF7D5F"/>
    <w:rsid w:val="00B000C9"/>
    <w:rsid w:val="00B01D8A"/>
    <w:rsid w:val="00B03FA5"/>
    <w:rsid w:val="00B05623"/>
    <w:rsid w:val="00B0577A"/>
    <w:rsid w:val="00B05933"/>
    <w:rsid w:val="00B05B4F"/>
    <w:rsid w:val="00B06D06"/>
    <w:rsid w:val="00B0724D"/>
    <w:rsid w:val="00B119A9"/>
    <w:rsid w:val="00B12E73"/>
    <w:rsid w:val="00B13E95"/>
    <w:rsid w:val="00B148F8"/>
    <w:rsid w:val="00B17121"/>
    <w:rsid w:val="00B171E5"/>
    <w:rsid w:val="00B20711"/>
    <w:rsid w:val="00B20B10"/>
    <w:rsid w:val="00B22920"/>
    <w:rsid w:val="00B260A6"/>
    <w:rsid w:val="00B27673"/>
    <w:rsid w:val="00B32341"/>
    <w:rsid w:val="00B33AA8"/>
    <w:rsid w:val="00B407FB"/>
    <w:rsid w:val="00B40DA8"/>
    <w:rsid w:val="00B420A4"/>
    <w:rsid w:val="00B44075"/>
    <w:rsid w:val="00B447B2"/>
    <w:rsid w:val="00B467E5"/>
    <w:rsid w:val="00B53217"/>
    <w:rsid w:val="00B532BF"/>
    <w:rsid w:val="00B53E48"/>
    <w:rsid w:val="00B54843"/>
    <w:rsid w:val="00B555DD"/>
    <w:rsid w:val="00B5597F"/>
    <w:rsid w:val="00B565AE"/>
    <w:rsid w:val="00B56B95"/>
    <w:rsid w:val="00B56DDB"/>
    <w:rsid w:val="00B5738E"/>
    <w:rsid w:val="00B612F5"/>
    <w:rsid w:val="00B65FE1"/>
    <w:rsid w:val="00B739C6"/>
    <w:rsid w:val="00B74BC0"/>
    <w:rsid w:val="00B759E2"/>
    <w:rsid w:val="00B76AC9"/>
    <w:rsid w:val="00B80E9C"/>
    <w:rsid w:val="00B82430"/>
    <w:rsid w:val="00B829AC"/>
    <w:rsid w:val="00B83ED2"/>
    <w:rsid w:val="00B849E3"/>
    <w:rsid w:val="00B852B8"/>
    <w:rsid w:val="00B86737"/>
    <w:rsid w:val="00B8767A"/>
    <w:rsid w:val="00B908E5"/>
    <w:rsid w:val="00B91412"/>
    <w:rsid w:val="00B91DE9"/>
    <w:rsid w:val="00B92852"/>
    <w:rsid w:val="00B9446B"/>
    <w:rsid w:val="00B94FDC"/>
    <w:rsid w:val="00B966EE"/>
    <w:rsid w:val="00BA06B3"/>
    <w:rsid w:val="00BA0D69"/>
    <w:rsid w:val="00BA287D"/>
    <w:rsid w:val="00BA30C6"/>
    <w:rsid w:val="00BA3BB3"/>
    <w:rsid w:val="00BA4400"/>
    <w:rsid w:val="00BA4F00"/>
    <w:rsid w:val="00BA5865"/>
    <w:rsid w:val="00BA6ECB"/>
    <w:rsid w:val="00BA77BF"/>
    <w:rsid w:val="00BA7988"/>
    <w:rsid w:val="00BB219C"/>
    <w:rsid w:val="00BB237F"/>
    <w:rsid w:val="00BB3103"/>
    <w:rsid w:val="00BB4761"/>
    <w:rsid w:val="00BB47A7"/>
    <w:rsid w:val="00BB573C"/>
    <w:rsid w:val="00BB7CA2"/>
    <w:rsid w:val="00BC1CE3"/>
    <w:rsid w:val="00BC36C5"/>
    <w:rsid w:val="00BC37FD"/>
    <w:rsid w:val="00BC4F4E"/>
    <w:rsid w:val="00BC59E6"/>
    <w:rsid w:val="00BC5D46"/>
    <w:rsid w:val="00BC6D4E"/>
    <w:rsid w:val="00BD048B"/>
    <w:rsid w:val="00BD2D90"/>
    <w:rsid w:val="00BD2FDE"/>
    <w:rsid w:val="00BD423B"/>
    <w:rsid w:val="00BD423E"/>
    <w:rsid w:val="00BD4295"/>
    <w:rsid w:val="00BD6FB3"/>
    <w:rsid w:val="00BE03BC"/>
    <w:rsid w:val="00BE179E"/>
    <w:rsid w:val="00BE2E0C"/>
    <w:rsid w:val="00BE3844"/>
    <w:rsid w:val="00BE41B7"/>
    <w:rsid w:val="00BE6033"/>
    <w:rsid w:val="00BE6118"/>
    <w:rsid w:val="00BE6C7E"/>
    <w:rsid w:val="00BE711F"/>
    <w:rsid w:val="00BF0EAF"/>
    <w:rsid w:val="00BF0EE4"/>
    <w:rsid w:val="00BF197E"/>
    <w:rsid w:val="00BF2C16"/>
    <w:rsid w:val="00BF2DF8"/>
    <w:rsid w:val="00BF39BA"/>
    <w:rsid w:val="00BF4945"/>
    <w:rsid w:val="00BF50B0"/>
    <w:rsid w:val="00BF7107"/>
    <w:rsid w:val="00BF7E97"/>
    <w:rsid w:val="00C02181"/>
    <w:rsid w:val="00C0257E"/>
    <w:rsid w:val="00C06463"/>
    <w:rsid w:val="00C06A86"/>
    <w:rsid w:val="00C107FE"/>
    <w:rsid w:val="00C11383"/>
    <w:rsid w:val="00C12D6C"/>
    <w:rsid w:val="00C13727"/>
    <w:rsid w:val="00C13F14"/>
    <w:rsid w:val="00C148E9"/>
    <w:rsid w:val="00C1525E"/>
    <w:rsid w:val="00C15C4F"/>
    <w:rsid w:val="00C16163"/>
    <w:rsid w:val="00C178BF"/>
    <w:rsid w:val="00C20F84"/>
    <w:rsid w:val="00C2519A"/>
    <w:rsid w:val="00C252E2"/>
    <w:rsid w:val="00C25320"/>
    <w:rsid w:val="00C26EE0"/>
    <w:rsid w:val="00C2720D"/>
    <w:rsid w:val="00C2772E"/>
    <w:rsid w:val="00C27803"/>
    <w:rsid w:val="00C3074D"/>
    <w:rsid w:val="00C30E5A"/>
    <w:rsid w:val="00C31DC5"/>
    <w:rsid w:val="00C3485A"/>
    <w:rsid w:val="00C35CBD"/>
    <w:rsid w:val="00C37844"/>
    <w:rsid w:val="00C40B0E"/>
    <w:rsid w:val="00C41989"/>
    <w:rsid w:val="00C47B4D"/>
    <w:rsid w:val="00C51A25"/>
    <w:rsid w:val="00C5202A"/>
    <w:rsid w:val="00C534EB"/>
    <w:rsid w:val="00C54274"/>
    <w:rsid w:val="00C54F29"/>
    <w:rsid w:val="00C55D1F"/>
    <w:rsid w:val="00C56CE3"/>
    <w:rsid w:val="00C64827"/>
    <w:rsid w:val="00C65035"/>
    <w:rsid w:val="00C65A07"/>
    <w:rsid w:val="00C67534"/>
    <w:rsid w:val="00C7090D"/>
    <w:rsid w:val="00C716E4"/>
    <w:rsid w:val="00C72458"/>
    <w:rsid w:val="00C72EF4"/>
    <w:rsid w:val="00C73796"/>
    <w:rsid w:val="00C76290"/>
    <w:rsid w:val="00C76CCA"/>
    <w:rsid w:val="00C818E1"/>
    <w:rsid w:val="00C844F5"/>
    <w:rsid w:val="00C9076D"/>
    <w:rsid w:val="00C9107E"/>
    <w:rsid w:val="00C9217B"/>
    <w:rsid w:val="00C92C33"/>
    <w:rsid w:val="00C93703"/>
    <w:rsid w:val="00C9406C"/>
    <w:rsid w:val="00C95A9B"/>
    <w:rsid w:val="00C97ABE"/>
    <w:rsid w:val="00CA3713"/>
    <w:rsid w:val="00CB08DD"/>
    <w:rsid w:val="00CB1E2E"/>
    <w:rsid w:val="00CB2712"/>
    <w:rsid w:val="00CB3874"/>
    <w:rsid w:val="00CB3E4A"/>
    <w:rsid w:val="00CB53AF"/>
    <w:rsid w:val="00CB57F0"/>
    <w:rsid w:val="00CB7288"/>
    <w:rsid w:val="00CC4D6D"/>
    <w:rsid w:val="00CC5487"/>
    <w:rsid w:val="00CC5CEE"/>
    <w:rsid w:val="00CC7121"/>
    <w:rsid w:val="00CC7D6E"/>
    <w:rsid w:val="00CD13F4"/>
    <w:rsid w:val="00CD544A"/>
    <w:rsid w:val="00CD5EDF"/>
    <w:rsid w:val="00CE2840"/>
    <w:rsid w:val="00CE3D96"/>
    <w:rsid w:val="00CE4799"/>
    <w:rsid w:val="00CE51D3"/>
    <w:rsid w:val="00CE52CA"/>
    <w:rsid w:val="00CF3CBF"/>
    <w:rsid w:val="00CF3F93"/>
    <w:rsid w:val="00CF3FFB"/>
    <w:rsid w:val="00CF65A0"/>
    <w:rsid w:val="00D01457"/>
    <w:rsid w:val="00D02DFD"/>
    <w:rsid w:val="00D0496C"/>
    <w:rsid w:val="00D11925"/>
    <w:rsid w:val="00D1229F"/>
    <w:rsid w:val="00D13F6D"/>
    <w:rsid w:val="00D15859"/>
    <w:rsid w:val="00D16DEC"/>
    <w:rsid w:val="00D179E2"/>
    <w:rsid w:val="00D17D37"/>
    <w:rsid w:val="00D20AB3"/>
    <w:rsid w:val="00D22221"/>
    <w:rsid w:val="00D23CC7"/>
    <w:rsid w:val="00D23EED"/>
    <w:rsid w:val="00D24567"/>
    <w:rsid w:val="00D24B22"/>
    <w:rsid w:val="00D3345E"/>
    <w:rsid w:val="00D33E1B"/>
    <w:rsid w:val="00D36A2B"/>
    <w:rsid w:val="00D4170E"/>
    <w:rsid w:val="00D419BE"/>
    <w:rsid w:val="00D420BC"/>
    <w:rsid w:val="00D42471"/>
    <w:rsid w:val="00D42AFC"/>
    <w:rsid w:val="00D4464C"/>
    <w:rsid w:val="00D4513E"/>
    <w:rsid w:val="00D46A2F"/>
    <w:rsid w:val="00D47FA0"/>
    <w:rsid w:val="00D500D5"/>
    <w:rsid w:val="00D50A14"/>
    <w:rsid w:val="00D50D82"/>
    <w:rsid w:val="00D519E3"/>
    <w:rsid w:val="00D53521"/>
    <w:rsid w:val="00D53584"/>
    <w:rsid w:val="00D5362E"/>
    <w:rsid w:val="00D53B2A"/>
    <w:rsid w:val="00D54AEE"/>
    <w:rsid w:val="00D54B85"/>
    <w:rsid w:val="00D6164A"/>
    <w:rsid w:val="00D622DF"/>
    <w:rsid w:val="00D62865"/>
    <w:rsid w:val="00D645E5"/>
    <w:rsid w:val="00D664C8"/>
    <w:rsid w:val="00D66C3C"/>
    <w:rsid w:val="00D66C6F"/>
    <w:rsid w:val="00D71AEC"/>
    <w:rsid w:val="00D722C2"/>
    <w:rsid w:val="00D80D45"/>
    <w:rsid w:val="00D80E2F"/>
    <w:rsid w:val="00D817B6"/>
    <w:rsid w:val="00D81DF3"/>
    <w:rsid w:val="00D82882"/>
    <w:rsid w:val="00D83AF4"/>
    <w:rsid w:val="00D84ADD"/>
    <w:rsid w:val="00D85F7F"/>
    <w:rsid w:val="00D860CF"/>
    <w:rsid w:val="00D86898"/>
    <w:rsid w:val="00D87206"/>
    <w:rsid w:val="00D902BB"/>
    <w:rsid w:val="00D917B7"/>
    <w:rsid w:val="00D93566"/>
    <w:rsid w:val="00D94281"/>
    <w:rsid w:val="00D95721"/>
    <w:rsid w:val="00D96D80"/>
    <w:rsid w:val="00DA1CA5"/>
    <w:rsid w:val="00DA2AAF"/>
    <w:rsid w:val="00DA2D03"/>
    <w:rsid w:val="00DA3969"/>
    <w:rsid w:val="00DA67E0"/>
    <w:rsid w:val="00DA7668"/>
    <w:rsid w:val="00DA7F79"/>
    <w:rsid w:val="00DB2A51"/>
    <w:rsid w:val="00DB3BFF"/>
    <w:rsid w:val="00DB439A"/>
    <w:rsid w:val="00DB6FB3"/>
    <w:rsid w:val="00DC19F1"/>
    <w:rsid w:val="00DC2445"/>
    <w:rsid w:val="00DC29A8"/>
    <w:rsid w:val="00DC3582"/>
    <w:rsid w:val="00DC5B56"/>
    <w:rsid w:val="00DC622E"/>
    <w:rsid w:val="00DD0665"/>
    <w:rsid w:val="00DD1D09"/>
    <w:rsid w:val="00DD34F9"/>
    <w:rsid w:val="00DD53CD"/>
    <w:rsid w:val="00DE2F6C"/>
    <w:rsid w:val="00DE439E"/>
    <w:rsid w:val="00DE6CDA"/>
    <w:rsid w:val="00DF3818"/>
    <w:rsid w:val="00DF43A7"/>
    <w:rsid w:val="00DF6281"/>
    <w:rsid w:val="00E00613"/>
    <w:rsid w:val="00E0065A"/>
    <w:rsid w:val="00E039CB"/>
    <w:rsid w:val="00E07C8A"/>
    <w:rsid w:val="00E12346"/>
    <w:rsid w:val="00E12738"/>
    <w:rsid w:val="00E1408D"/>
    <w:rsid w:val="00E20333"/>
    <w:rsid w:val="00E21229"/>
    <w:rsid w:val="00E232E0"/>
    <w:rsid w:val="00E23C83"/>
    <w:rsid w:val="00E3044B"/>
    <w:rsid w:val="00E32287"/>
    <w:rsid w:val="00E329D4"/>
    <w:rsid w:val="00E35D91"/>
    <w:rsid w:val="00E37DB2"/>
    <w:rsid w:val="00E407CD"/>
    <w:rsid w:val="00E409BE"/>
    <w:rsid w:val="00E431A9"/>
    <w:rsid w:val="00E43400"/>
    <w:rsid w:val="00E47484"/>
    <w:rsid w:val="00E51235"/>
    <w:rsid w:val="00E5132E"/>
    <w:rsid w:val="00E51793"/>
    <w:rsid w:val="00E53DB5"/>
    <w:rsid w:val="00E54895"/>
    <w:rsid w:val="00E5590F"/>
    <w:rsid w:val="00E5595F"/>
    <w:rsid w:val="00E566E7"/>
    <w:rsid w:val="00E628E0"/>
    <w:rsid w:val="00E63A62"/>
    <w:rsid w:val="00E63C4C"/>
    <w:rsid w:val="00E704C6"/>
    <w:rsid w:val="00E70E17"/>
    <w:rsid w:val="00E72157"/>
    <w:rsid w:val="00E7265E"/>
    <w:rsid w:val="00E72D8F"/>
    <w:rsid w:val="00E75C5B"/>
    <w:rsid w:val="00E7627F"/>
    <w:rsid w:val="00E76A54"/>
    <w:rsid w:val="00E7781F"/>
    <w:rsid w:val="00E779B4"/>
    <w:rsid w:val="00E77FDA"/>
    <w:rsid w:val="00E80A6E"/>
    <w:rsid w:val="00E80EA8"/>
    <w:rsid w:val="00E82AAC"/>
    <w:rsid w:val="00E83257"/>
    <w:rsid w:val="00E879D6"/>
    <w:rsid w:val="00E87A55"/>
    <w:rsid w:val="00E90770"/>
    <w:rsid w:val="00E97C43"/>
    <w:rsid w:val="00EA198D"/>
    <w:rsid w:val="00EA309D"/>
    <w:rsid w:val="00EA3A9A"/>
    <w:rsid w:val="00EA7E5A"/>
    <w:rsid w:val="00EB35C3"/>
    <w:rsid w:val="00EB3913"/>
    <w:rsid w:val="00EB53BC"/>
    <w:rsid w:val="00EB56C6"/>
    <w:rsid w:val="00EB68A3"/>
    <w:rsid w:val="00EB771A"/>
    <w:rsid w:val="00EB7ED2"/>
    <w:rsid w:val="00EB7F80"/>
    <w:rsid w:val="00EC4B5B"/>
    <w:rsid w:val="00EC6096"/>
    <w:rsid w:val="00EC7E5D"/>
    <w:rsid w:val="00ED0C28"/>
    <w:rsid w:val="00ED32F0"/>
    <w:rsid w:val="00ED52B1"/>
    <w:rsid w:val="00ED5902"/>
    <w:rsid w:val="00ED5C5B"/>
    <w:rsid w:val="00ED6655"/>
    <w:rsid w:val="00ED66AA"/>
    <w:rsid w:val="00EE163B"/>
    <w:rsid w:val="00EE2B3C"/>
    <w:rsid w:val="00EE4546"/>
    <w:rsid w:val="00EE53FA"/>
    <w:rsid w:val="00EE705F"/>
    <w:rsid w:val="00EF0CAE"/>
    <w:rsid w:val="00EF12CE"/>
    <w:rsid w:val="00EF51F5"/>
    <w:rsid w:val="00EF54A8"/>
    <w:rsid w:val="00EF79D5"/>
    <w:rsid w:val="00EF7E48"/>
    <w:rsid w:val="00F00866"/>
    <w:rsid w:val="00F02242"/>
    <w:rsid w:val="00F03471"/>
    <w:rsid w:val="00F06029"/>
    <w:rsid w:val="00F06EEB"/>
    <w:rsid w:val="00F07185"/>
    <w:rsid w:val="00F07FC1"/>
    <w:rsid w:val="00F12DD6"/>
    <w:rsid w:val="00F13007"/>
    <w:rsid w:val="00F1405E"/>
    <w:rsid w:val="00F14292"/>
    <w:rsid w:val="00F164FA"/>
    <w:rsid w:val="00F22D52"/>
    <w:rsid w:val="00F2406F"/>
    <w:rsid w:val="00F24ADD"/>
    <w:rsid w:val="00F250ED"/>
    <w:rsid w:val="00F27F93"/>
    <w:rsid w:val="00F303B1"/>
    <w:rsid w:val="00F316D9"/>
    <w:rsid w:val="00F31B19"/>
    <w:rsid w:val="00F31E23"/>
    <w:rsid w:val="00F340C8"/>
    <w:rsid w:val="00F34A5C"/>
    <w:rsid w:val="00F3769A"/>
    <w:rsid w:val="00F43AE4"/>
    <w:rsid w:val="00F44CE1"/>
    <w:rsid w:val="00F46658"/>
    <w:rsid w:val="00F47319"/>
    <w:rsid w:val="00F50C0F"/>
    <w:rsid w:val="00F51781"/>
    <w:rsid w:val="00F527AE"/>
    <w:rsid w:val="00F52B80"/>
    <w:rsid w:val="00F535B8"/>
    <w:rsid w:val="00F55059"/>
    <w:rsid w:val="00F60587"/>
    <w:rsid w:val="00F63549"/>
    <w:rsid w:val="00F63CD9"/>
    <w:rsid w:val="00F663B0"/>
    <w:rsid w:val="00F66AE8"/>
    <w:rsid w:val="00F70903"/>
    <w:rsid w:val="00F72001"/>
    <w:rsid w:val="00F731F3"/>
    <w:rsid w:val="00F73B12"/>
    <w:rsid w:val="00F73CAD"/>
    <w:rsid w:val="00F73F08"/>
    <w:rsid w:val="00F746DB"/>
    <w:rsid w:val="00F75AEA"/>
    <w:rsid w:val="00F76016"/>
    <w:rsid w:val="00F7675B"/>
    <w:rsid w:val="00F81F3B"/>
    <w:rsid w:val="00F834E7"/>
    <w:rsid w:val="00F841C5"/>
    <w:rsid w:val="00F84B95"/>
    <w:rsid w:val="00F85118"/>
    <w:rsid w:val="00F85847"/>
    <w:rsid w:val="00F85A30"/>
    <w:rsid w:val="00F91879"/>
    <w:rsid w:val="00F964AF"/>
    <w:rsid w:val="00F9672E"/>
    <w:rsid w:val="00FA0BE6"/>
    <w:rsid w:val="00FA19A3"/>
    <w:rsid w:val="00FA2A4F"/>
    <w:rsid w:val="00FA32A8"/>
    <w:rsid w:val="00FA36D0"/>
    <w:rsid w:val="00FA4527"/>
    <w:rsid w:val="00FA77FA"/>
    <w:rsid w:val="00FB0868"/>
    <w:rsid w:val="00FB3A83"/>
    <w:rsid w:val="00FC1207"/>
    <w:rsid w:val="00FC3FAD"/>
    <w:rsid w:val="00FC43EE"/>
    <w:rsid w:val="00FC5B14"/>
    <w:rsid w:val="00FD06E9"/>
    <w:rsid w:val="00FD2DA6"/>
    <w:rsid w:val="00FD554A"/>
    <w:rsid w:val="00FD7C94"/>
    <w:rsid w:val="00FE0437"/>
    <w:rsid w:val="00FE0BC3"/>
    <w:rsid w:val="00FE150C"/>
    <w:rsid w:val="00FE238C"/>
    <w:rsid w:val="00FE4091"/>
    <w:rsid w:val="00FE40F9"/>
    <w:rsid w:val="00FE44B1"/>
    <w:rsid w:val="00FE50FF"/>
    <w:rsid w:val="00FE613D"/>
    <w:rsid w:val="00FF5F13"/>
    <w:rsid w:val="00FF64C5"/>
    <w:rsid w:val="00FF7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B2EF3BC"/>
  <w15:chartTrackingRefBased/>
  <w15:docId w15:val="{0EE38F0E-A553-450B-A969-700B4369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FC5B14"/>
    <w:pPr>
      <w:jc w:val="both"/>
    </w:pPr>
  </w:style>
  <w:style w:type="paragraph" w:styleId="Nadpis10">
    <w:name w:val="heading 1"/>
    <w:basedOn w:val="Odstavecseseznamem"/>
    <w:next w:val="Normln"/>
    <w:link w:val="Nadpis1Char"/>
    <w:uiPriority w:val="9"/>
    <w:qFormat/>
    <w:rsid w:val="00FC5B14"/>
    <w:pPr>
      <w:ind w:left="0"/>
      <w:outlineLvl w:val="0"/>
    </w:pPr>
    <w:rPr>
      <w:rFonts w:cs="Arial"/>
      <w:b/>
      <w:sz w:val="24"/>
      <w:szCs w:val="24"/>
    </w:rPr>
  </w:style>
  <w:style w:type="paragraph" w:styleId="Nadpis20">
    <w:name w:val="heading 2"/>
    <w:basedOn w:val="Odstavecseseznamem"/>
    <w:next w:val="Normln"/>
    <w:link w:val="Nadpis2Char"/>
    <w:uiPriority w:val="9"/>
    <w:unhideWhenUsed/>
    <w:qFormat/>
    <w:rsid w:val="000C621D"/>
    <w:pPr>
      <w:ind w:left="0"/>
      <w:outlineLvl w:val="1"/>
    </w:pPr>
    <w:rPr>
      <w:rFonts w:cs="Arial"/>
      <w:b/>
      <w:sz w:val="28"/>
    </w:rPr>
  </w:style>
  <w:style w:type="paragraph" w:styleId="Nadpis30">
    <w:name w:val="heading 3"/>
    <w:basedOn w:val="Normln"/>
    <w:next w:val="Normln"/>
    <w:link w:val="Nadpis3Char"/>
    <w:unhideWhenUsed/>
    <w:rsid w:val="00686C7E"/>
    <w:pPr>
      <w:keepNext/>
      <w:keepLines/>
      <w:spacing w:before="40" w:after="120"/>
      <w:outlineLvl w:val="2"/>
    </w:pPr>
    <w:rPr>
      <w:rFonts w:eastAsiaTheme="majorEastAsia" w:cstheme="majorBidi"/>
      <w:smallCaps/>
      <w:sz w:val="24"/>
      <w:szCs w:val="24"/>
    </w:rPr>
  </w:style>
  <w:style w:type="paragraph" w:styleId="Nadpis4">
    <w:name w:val="heading 4"/>
    <w:basedOn w:val="Normln"/>
    <w:next w:val="Normln"/>
    <w:link w:val="Nadpis4Char"/>
    <w:unhideWhenUsed/>
    <w:rsid w:val="00842AB7"/>
    <w:pPr>
      <w:keepNext/>
      <w:keepLines/>
      <w:spacing w:before="40" w:after="0"/>
      <w:outlineLvl w:val="3"/>
    </w:pPr>
  </w:style>
  <w:style w:type="paragraph" w:styleId="Nadpis5">
    <w:name w:val="heading 5"/>
    <w:basedOn w:val="Normln"/>
    <w:next w:val="Text"/>
    <w:link w:val="Nadpis5Char"/>
    <w:rsid w:val="00E51235"/>
    <w:pPr>
      <w:spacing w:after="120" w:line="240" w:lineRule="auto"/>
      <w:ind w:left="1008" w:hanging="1008"/>
      <w:outlineLvl w:val="4"/>
    </w:pPr>
    <w:rPr>
      <w:rFonts w:ascii="Arial Narrow" w:eastAsia="Times New Roman" w:hAnsi="Arial Narrow" w:cs="Times New Roman"/>
      <w:b/>
      <w:bCs/>
      <w:i/>
      <w:iCs/>
      <w:caps/>
      <w:sz w:val="24"/>
      <w:szCs w:val="26"/>
      <w:lang w:eastAsia="cs-CZ"/>
    </w:rPr>
  </w:style>
  <w:style w:type="paragraph" w:styleId="Nadpis6">
    <w:name w:val="heading 6"/>
    <w:basedOn w:val="Normln"/>
    <w:next w:val="Normln"/>
    <w:link w:val="Nadpis6Char"/>
    <w:rsid w:val="00E51235"/>
    <w:pPr>
      <w:spacing w:after="120" w:line="240" w:lineRule="auto"/>
      <w:ind w:left="1152" w:hanging="1152"/>
      <w:outlineLvl w:val="5"/>
    </w:pPr>
    <w:rPr>
      <w:rFonts w:ascii="Arial Narrow" w:eastAsia="Times New Roman" w:hAnsi="Arial Narrow" w:cs="Times New Roman"/>
      <w:b/>
      <w:bCs/>
      <w:i/>
      <w:caps/>
      <w:lang w:eastAsia="cs-CZ"/>
    </w:rPr>
  </w:style>
  <w:style w:type="paragraph" w:styleId="Nadpis7">
    <w:name w:val="heading 7"/>
    <w:basedOn w:val="Normln"/>
    <w:next w:val="Normln"/>
    <w:link w:val="Nadpis7Char"/>
    <w:rsid w:val="00E51235"/>
    <w:pPr>
      <w:keepNext/>
      <w:spacing w:after="120" w:line="240" w:lineRule="auto"/>
      <w:ind w:left="1296" w:hanging="1296"/>
      <w:jc w:val="left"/>
      <w:outlineLvl w:val="6"/>
    </w:pPr>
    <w:rPr>
      <w:rFonts w:ascii="Arial Narrow" w:eastAsia="Times New Roman" w:hAnsi="Arial Narrow" w:cs="Times New Roman"/>
      <w:caps/>
      <w:sz w:val="24"/>
      <w:szCs w:val="20"/>
      <w:lang w:eastAsia="cs-CZ"/>
    </w:rPr>
  </w:style>
  <w:style w:type="paragraph" w:styleId="Nadpis8">
    <w:name w:val="heading 8"/>
    <w:basedOn w:val="Normln"/>
    <w:next w:val="Normln"/>
    <w:link w:val="Nadpis8Char"/>
    <w:rsid w:val="00E51235"/>
    <w:pPr>
      <w:spacing w:after="120" w:line="240" w:lineRule="auto"/>
      <w:ind w:left="1440" w:hanging="1440"/>
      <w:outlineLvl w:val="7"/>
    </w:pPr>
    <w:rPr>
      <w:rFonts w:ascii="Arial Narrow" w:eastAsia="Times New Roman" w:hAnsi="Arial Narrow" w:cs="Times New Roman"/>
      <w:i/>
      <w:iCs/>
      <w:caps/>
      <w:sz w:val="24"/>
      <w:szCs w:val="24"/>
      <w:lang w:eastAsia="cs-CZ"/>
    </w:rPr>
  </w:style>
  <w:style w:type="paragraph" w:styleId="Nadpis9">
    <w:name w:val="heading 9"/>
    <w:basedOn w:val="Normln"/>
    <w:next w:val="Normln"/>
    <w:link w:val="Nadpis9Char"/>
    <w:rsid w:val="00E51235"/>
    <w:pPr>
      <w:spacing w:after="120" w:line="240" w:lineRule="auto"/>
      <w:ind w:left="1584" w:hanging="1584"/>
      <w:outlineLvl w:val="8"/>
    </w:pPr>
    <w:rPr>
      <w:rFonts w:ascii="Arial Narrow" w:eastAsia="Times New Roman" w:hAnsi="Arial Narrow" w:cs="Arial"/>
      <w:caps/>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C5B14"/>
    <w:pPr>
      <w:ind w:left="720"/>
      <w:contextualSpacing/>
    </w:pPr>
  </w:style>
  <w:style w:type="character" w:customStyle="1" w:styleId="Nadpis1Char">
    <w:name w:val="Nadpis 1 Char"/>
    <w:basedOn w:val="Standardnpsmoodstavce"/>
    <w:link w:val="Nadpis10"/>
    <w:uiPriority w:val="9"/>
    <w:rsid w:val="00FC5B14"/>
    <w:rPr>
      <w:rFonts w:cs="Arial"/>
      <w:b/>
      <w:sz w:val="24"/>
      <w:szCs w:val="24"/>
    </w:rPr>
  </w:style>
  <w:style w:type="character" w:customStyle="1" w:styleId="Nadpis2Char">
    <w:name w:val="Nadpis 2 Char"/>
    <w:basedOn w:val="Standardnpsmoodstavce"/>
    <w:link w:val="Nadpis20"/>
    <w:uiPriority w:val="9"/>
    <w:rsid w:val="000C621D"/>
    <w:rPr>
      <w:rFonts w:cs="Arial"/>
      <w:b/>
      <w:sz w:val="28"/>
    </w:rPr>
  </w:style>
  <w:style w:type="character" w:customStyle="1" w:styleId="Nadpis3Char">
    <w:name w:val="Nadpis 3 Char"/>
    <w:basedOn w:val="Standardnpsmoodstavce"/>
    <w:link w:val="Nadpis30"/>
    <w:rsid w:val="00686C7E"/>
    <w:rPr>
      <w:rFonts w:eastAsiaTheme="majorEastAsia" w:cstheme="majorBidi"/>
      <w:smallCaps/>
      <w:sz w:val="24"/>
      <w:szCs w:val="24"/>
    </w:rPr>
  </w:style>
  <w:style w:type="character" w:customStyle="1" w:styleId="Nadpis4Char">
    <w:name w:val="Nadpis 4 Char"/>
    <w:basedOn w:val="Standardnpsmoodstavce"/>
    <w:link w:val="Nadpis4"/>
    <w:rsid w:val="00842AB7"/>
  </w:style>
  <w:style w:type="paragraph" w:customStyle="1" w:styleId="Text">
    <w:name w:val="Text"/>
    <w:basedOn w:val="Normln"/>
    <w:link w:val="TextChar"/>
    <w:qFormat/>
    <w:rsid w:val="00EB7F80"/>
    <w:pPr>
      <w:spacing w:after="120" w:line="240" w:lineRule="auto"/>
    </w:pPr>
    <w:rPr>
      <w:rFonts w:ascii="Arial Narrow" w:hAnsi="Arial Narrow"/>
      <w:sz w:val="24"/>
    </w:rPr>
  </w:style>
  <w:style w:type="character" w:customStyle="1" w:styleId="TextChar">
    <w:name w:val="Text Char"/>
    <w:basedOn w:val="Standardnpsmoodstavce"/>
    <w:link w:val="Text"/>
    <w:rsid w:val="00EB7F80"/>
    <w:rPr>
      <w:rFonts w:ascii="Arial Narrow" w:hAnsi="Arial Narrow"/>
      <w:sz w:val="24"/>
    </w:rPr>
  </w:style>
  <w:style w:type="character" w:customStyle="1" w:styleId="Nadpis5Char">
    <w:name w:val="Nadpis 5 Char"/>
    <w:basedOn w:val="Standardnpsmoodstavce"/>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E51235"/>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E51235"/>
    <w:rPr>
      <w:rFonts w:ascii="Arial Narrow" w:eastAsia="Times New Roman" w:hAnsi="Arial Narrow" w:cs="Arial"/>
      <w:caps/>
      <w:lang w:eastAsia="cs-CZ"/>
    </w:rPr>
  </w:style>
  <w:style w:type="paragraph" w:styleId="Bezmezer">
    <w:name w:val="No Spacing"/>
    <w:uiPriority w:val="1"/>
    <w:qFormat/>
    <w:rsid w:val="00FC5B14"/>
    <w:pPr>
      <w:spacing w:after="0" w:line="240" w:lineRule="auto"/>
    </w:pPr>
  </w:style>
  <w:style w:type="character" w:styleId="Hypertextovodkaz">
    <w:name w:val="Hyperlink"/>
    <w:basedOn w:val="Standardnpsmoodstavce"/>
    <w:uiPriority w:val="99"/>
    <w:unhideWhenUsed/>
    <w:rsid w:val="00FC5B14"/>
    <w:rPr>
      <w:color w:val="0563C1" w:themeColor="hyperlink"/>
      <w:u w:val="single"/>
    </w:rPr>
  </w:style>
  <w:style w:type="paragraph" w:styleId="Podnadpis">
    <w:name w:val="Subtitle"/>
    <w:basedOn w:val="Normln"/>
    <w:next w:val="Normln"/>
    <w:link w:val="PodnadpisChar"/>
    <w:uiPriority w:val="11"/>
    <w:qFormat/>
    <w:rsid w:val="00842AB7"/>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842AB7"/>
    <w:rPr>
      <w:rFonts w:eastAsiaTheme="minorEastAsia"/>
      <w:color w:val="5A5A5A" w:themeColor="text1" w:themeTint="A5"/>
      <w:spacing w:val="15"/>
    </w:rPr>
  </w:style>
  <w:style w:type="paragraph" w:styleId="Nadpisobsahu">
    <w:name w:val="TOC Heading"/>
    <w:basedOn w:val="Nadpis10"/>
    <w:next w:val="Normln"/>
    <w:uiPriority w:val="39"/>
    <w:unhideWhenUsed/>
    <w:qFormat/>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
    <w:next w:val="Normln"/>
    <w:autoRedefine/>
    <w:uiPriority w:val="39"/>
    <w:unhideWhenUsed/>
    <w:qFormat/>
    <w:rsid w:val="008A14A7"/>
    <w:pPr>
      <w:tabs>
        <w:tab w:val="left" w:pos="851"/>
        <w:tab w:val="right" w:leader="dot" w:pos="9061"/>
      </w:tabs>
      <w:spacing w:after="0" w:line="288" w:lineRule="auto"/>
      <w:jc w:val="left"/>
    </w:pPr>
    <w:rPr>
      <w:rFonts w:ascii="Segoe UI" w:eastAsiaTheme="minorEastAsia" w:hAnsi="Segoe UI"/>
      <w:b/>
      <w:bCs/>
      <w:noProof/>
      <w:sz w:val="24"/>
      <w:lang w:eastAsia="cs-CZ"/>
    </w:rPr>
  </w:style>
  <w:style w:type="paragraph" w:styleId="Obsah2">
    <w:name w:val="toc 2"/>
    <w:basedOn w:val="Normln"/>
    <w:next w:val="Normln"/>
    <w:autoRedefine/>
    <w:uiPriority w:val="39"/>
    <w:unhideWhenUsed/>
    <w:qFormat/>
    <w:rsid w:val="007D50F2"/>
    <w:pPr>
      <w:tabs>
        <w:tab w:val="left" w:pos="660"/>
        <w:tab w:val="right" w:leader="dot" w:pos="9061"/>
      </w:tabs>
      <w:spacing w:after="0" w:line="264" w:lineRule="auto"/>
      <w:ind w:left="284" w:hanging="284"/>
      <w:jc w:val="left"/>
    </w:pPr>
    <w:rPr>
      <w:rFonts w:ascii="Segoe UI" w:hAnsi="Segoe UI" w:cs="Segoe UI"/>
      <w:noProof/>
      <w:sz w:val="20"/>
      <w:szCs w:val="20"/>
    </w:rPr>
  </w:style>
  <w:style w:type="paragraph" w:styleId="Obsah3">
    <w:name w:val="toc 3"/>
    <w:basedOn w:val="Normln"/>
    <w:next w:val="Normln"/>
    <w:autoRedefine/>
    <w:uiPriority w:val="39"/>
    <w:unhideWhenUsed/>
    <w:qFormat/>
    <w:rsid w:val="00526D64"/>
    <w:pPr>
      <w:tabs>
        <w:tab w:val="left" w:pos="1701"/>
        <w:tab w:val="right" w:leader="dot" w:pos="9061"/>
      </w:tabs>
      <w:spacing w:after="120" w:line="264" w:lineRule="auto"/>
      <w:ind w:left="567"/>
      <w:contextualSpacing/>
      <w:jc w:val="left"/>
    </w:pPr>
    <w:rPr>
      <w:rFonts w:ascii="Segoe UI" w:hAnsi="Segoe UI"/>
      <w:iCs/>
      <w:noProof/>
      <w:sz w:val="20"/>
      <w:szCs w:val="20"/>
    </w:rPr>
  </w:style>
  <w:style w:type="paragraph" w:styleId="Textbubliny">
    <w:name w:val="Balloon Text"/>
    <w:basedOn w:val="Normln"/>
    <w:link w:val="TextbublinyChar"/>
    <w:semiHidden/>
    <w:unhideWhenUsed/>
    <w:rsid w:val="00C161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6163"/>
    <w:rPr>
      <w:rFonts w:ascii="Segoe UI" w:hAnsi="Segoe UI" w:cs="Segoe UI"/>
      <w:sz w:val="18"/>
      <w:szCs w:val="18"/>
    </w:rPr>
  </w:style>
  <w:style w:type="paragraph" w:customStyle="1" w:styleId="STTITUL">
    <w:name w:val="S+T_TITUL"/>
    <w:basedOn w:val="Normln"/>
    <w:link w:val="STTITULChar"/>
    <w:qFormat/>
    <w:rsid w:val="00E63A62"/>
    <w:pPr>
      <w:spacing w:after="240" w:line="288" w:lineRule="auto"/>
      <w:jc w:val="center"/>
    </w:pPr>
    <w:rPr>
      <w:rFonts w:ascii="Segoe UI" w:hAnsi="Segoe UI" w:cs="Segoe UI"/>
      <w:b/>
      <w:color w:val="404040" w:themeColor="text1" w:themeTint="BF"/>
      <w:sz w:val="32"/>
      <w:szCs w:val="20"/>
    </w:rPr>
  </w:style>
  <w:style w:type="character" w:customStyle="1" w:styleId="STTITULChar">
    <w:name w:val="S+T_TITUL Char"/>
    <w:basedOn w:val="Standardnpsmoodstavce"/>
    <w:link w:val="STTITUL"/>
    <w:rsid w:val="00E63A62"/>
    <w:rPr>
      <w:rFonts w:ascii="Segoe UI" w:hAnsi="Segoe UI" w:cs="Segoe UI"/>
      <w:b/>
      <w:color w:val="404040" w:themeColor="text1" w:themeTint="BF"/>
      <w:sz w:val="32"/>
      <w:szCs w:val="20"/>
    </w:rPr>
  </w:style>
  <w:style w:type="paragraph" w:customStyle="1" w:styleId="STNORMLN-1">
    <w:name w:val="S+T_NORMÁLNÍ-1"/>
    <w:basedOn w:val="Normln"/>
    <w:link w:val="STNORMLN-1Char"/>
    <w:qFormat/>
    <w:rsid w:val="00701E2B"/>
    <w:pPr>
      <w:spacing w:after="120" w:line="288" w:lineRule="auto"/>
      <w:jc w:val="left"/>
    </w:pPr>
    <w:rPr>
      <w:rFonts w:ascii="Segoe UI" w:hAnsi="Segoe UI"/>
      <w:color w:val="262626" w:themeColor="text1" w:themeTint="D9"/>
    </w:rPr>
  </w:style>
  <w:style w:type="character" w:customStyle="1" w:styleId="STNORMLN-1Char">
    <w:name w:val="S+T_NORMÁLNÍ-1 Char"/>
    <w:basedOn w:val="Standardnpsmoodstavce"/>
    <w:link w:val="STNORMLN-1"/>
    <w:rsid w:val="00701E2B"/>
    <w:rPr>
      <w:rFonts w:ascii="Segoe UI" w:hAnsi="Segoe UI"/>
      <w:color w:val="262626" w:themeColor="text1" w:themeTint="D9"/>
    </w:rPr>
  </w:style>
  <w:style w:type="paragraph" w:styleId="Zhlav">
    <w:name w:val="header"/>
    <w:basedOn w:val="Normln"/>
    <w:link w:val="ZhlavChar"/>
    <w:uiPriority w:val="99"/>
    <w:unhideWhenUsed/>
    <w:rsid w:val="00A935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351D"/>
  </w:style>
  <w:style w:type="paragraph" w:styleId="Zpat">
    <w:name w:val="footer"/>
    <w:basedOn w:val="Normln"/>
    <w:link w:val="ZpatChar"/>
    <w:unhideWhenUsed/>
    <w:rsid w:val="00A9351D"/>
    <w:pPr>
      <w:tabs>
        <w:tab w:val="center" w:pos="4536"/>
        <w:tab w:val="right" w:pos="9072"/>
      </w:tabs>
      <w:spacing w:after="0" w:line="240" w:lineRule="auto"/>
    </w:pPr>
  </w:style>
  <w:style w:type="character" w:customStyle="1" w:styleId="ZpatChar">
    <w:name w:val="Zápatí Char"/>
    <w:basedOn w:val="Standardnpsmoodstavce"/>
    <w:link w:val="Zpat"/>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583C68"/>
    <w:pPr>
      <w:numPr>
        <w:numId w:val="7"/>
      </w:numPr>
      <w:spacing w:before="720" w:after="240" w:line="288" w:lineRule="auto"/>
      <w:contextualSpacing w:val="0"/>
    </w:pPr>
    <w:rPr>
      <w:rFonts w:ascii="Segoe UI" w:hAnsi="Segoe UI" w:cs="Segoe UI"/>
      <w:color w:val="262626" w:themeColor="text1" w:themeTint="D9"/>
      <w:szCs w:val="34"/>
    </w:rPr>
  </w:style>
  <w:style w:type="character" w:customStyle="1" w:styleId="STNADPIS1Char">
    <w:name w:val="S+T_NADPIS1 Char"/>
    <w:basedOn w:val="Nadpis1Char"/>
    <w:link w:val="STNADPIS1"/>
    <w:rsid w:val="00583C68"/>
    <w:rPr>
      <w:rFonts w:ascii="Segoe UI" w:hAnsi="Segoe UI" w:cs="Segoe UI"/>
      <w:b/>
      <w:color w:val="262626" w:themeColor="text1" w:themeTint="D9"/>
      <w:sz w:val="24"/>
      <w:szCs w:val="34"/>
    </w:rPr>
  </w:style>
  <w:style w:type="paragraph" w:customStyle="1" w:styleId="STNORMLN-2">
    <w:name w:val="S+T_NORMÁLNÍ-2"/>
    <w:basedOn w:val="STNORMLN-1"/>
    <w:link w:val="STNORMLN-2Char"/>
    <w:qFormat/>
    <w:rsid w:val="00FE150C"/>
    <w:pPr>
      <w:spacing w:after="160" w:line="240" w:lineRule="auto"/>
      <w:jc w:val="both"/>
    </w:pPr>
  </w:style>
  <w:style w:type="character" w:customStyle="1" w:styleId="STNORMLN-2Char">
    <w:name w:val="S+T_NORMÁLNÍ-2 Char"/>
    <w:basedOn w:val="STNORMLN-1Char"/>
    <w:link w:val="STNORMLN-2"/>
    <w:rsid w:val="00FE150C"/>
    <w:rPr>
      <w:rFonts w:ascii="Segoe UI" w:hAnsi="Segoe UI"/>
      <w:color w:val="262626" w:themeColor="text1" w:themeTint="D9"/>
    </w:rPr>
  </w:style>
  <w:style w:type="paragraph" w:customStyle="1" w:styleId="STNADPIS2">
    <w:name w:val="S+T_NADPIS2"/>
    <w:basedOn w:val="Nadpis20"/>
    <w:link w:val="STNADPIS2Char"/>
    <w:qFormat/>
    <w:rsid w:val="009158AF"/>
    <w:pPr>
      <w:numPr>
        <w:ilvl w:val="1"/>
        <w:numId w:val="7"/>
      </w:numPr>
      <w:spacing w:after="120" w:line="288" w:lineRule="auto"/>
      <w:contextualSpacing w:val="0"/>
    </w:pPr>
    <w:rPr>
      <w:rFonts w:ascii="Segoe UI" w:hAnsi="Segoe UI" w:cs="Segoe UI"/>
      <w:color w:val="262626" w:themeColor="text1" w:themeTint="D9"/>
      <w:sz w:val="24"/>
    </w:rPr>
  </w:style>
  <w:style w:type="character" w:customStyle="1" w:styleId="STNADPIS2Char">
    <w:name w:val="S+T_NADPIS2 Char"/>
    <w:basedOn w:val="Nadpis2Char"/>
    <w:link w:val="STNADPIS2"/>
    <w:rsid w:val="009158AF"/>
    <w:rPr>
      <w:rFonts w:ascii="Segoe UI" w:hAnsi="Segoe UI" w:cs="Segoe UI"/>
      <w:b/>
      <w:color w:val="262626" w:themeColor="text1" w:themeTint="D9"/>
      <w:sz w:val="24"/>
    </w:rPr>
  </w:style>
  <w:style w:type="paragraph" w:customStyle="1" w:styleId="STNADPIS-4bezcisel">
    <w:name w:val="S+T_NADPIS-4_bezcisel"/>
    <w:basedOn w:val="Nadpis4"/>
    <w:next w:val="STNORMLN-2"/>
    <w:link w:val="STNADPIS-4bezciselChar"/>
    <w:qFormat/>
    <w:rsid w:val="002808B4"/>
    <w:pPr>
      <w:spacing w:before="120" w:after="20" w:line="288" w:lineRule="auto"/>
    </w:pPr>
    <w:rPr>
      <w:rFonts w:ascii="Segoe UI" w:hAnsi="Segoe UI" w:cs="Segoe UI"/>
      <w:b/>
      <w:smallCaps/>
      <w:color w:val="262626" w:themeColor="text1" w:themeTint="D9"/>
    </w:rPr>
  </w:style>
  <w:style w:type="character" w:customStyle="1" w:styleId="STNADPIS-4bezciselChar">
    <w:name w:val="S+T_NADPIS-4_bezcisel Char"/>
    <w:basedOn w:val="Nadpis3Char"/>
    <w:link w:val="STNADPIS-4bezcisel"/>
    <w:rsid w:val="002808B4"/>
    <w:rPr>
      <w:rFonts w:ascii="Segoe UI" w:eastAsiaTheme="majorEastAsia" w:hAnsi="Segoe UI" w:cs="Segoe UI"/>
      <w:b/>
      <w:smallCaps/>
      <w:color w:val="262626" w:themeColor="text1" w:themeTint="D9"/>
      <w:sz w:val="24"/>
      <w:szCs w:val="24"/>
    </w:rPr>
  </w:style>
  <w:style w:type="paragraph" w:customStyle="1" w:styleId="STODRKY">
    <w:name w:val="S+T_ODRÁŽKY"/>
    <w:basedOn w:val="STNORMLN-2"/>
    <w:link w:val="STODRKYChar"/>
    <w:qFormat/>
    <w:rsid w:val="00DA2AAF"/>
    <w:pPr>
      <w:numPr>
        <w:numId w:val="1"/>
      </w:numPr>
    </w:pPr>
  </w:style>
  <w:style w:type="character" w:customStyle="1" w:styleId="STODRKYChar">
    <w:name w:val="S+T_ODRÁŽKY Char"/>
    <w:basedOn w:val="STNORMLN-2Char"/>
    <w:link w:val="STODRKY"/>
    <w:rsid w:val="00DA2AAF"/>
    <w:rPr>
      <w:rFonts w:ascii="Segoe UI" w:hAnsi="Segoe UI"/>
      <w:color w:val="262626" w:themeColor="text1" w:themeTint="D9"/>
    </w:rPr>
  </w:style>
  <w:style w:type="paragraph" w:customStyle="1" w:styleId="DTFODRKY-2">
    <w:name w:val="DTF_ODRÁŽKY-2"/>
    <w:basedOn w:val="STODRKY"/>
    <w:link w:val="DTFODRKY-2Char"/>
    <w:rsid w:val="003F63DA"/>
    <w:pPr>
      <w:numPr>
        <w:numId w:val="2"/>
      </w:numPr>
    </w:pPr>
  </w:style>
  <w:style w:type="character" w:customStyle="1" w:styleId="DTFODRKY-2Char">
    <w:name w:val="DTF_ODRÁŽKY-2 Char"/>
    <w:basedOn w:val="STODRKYChar"/>
    <w:link w:val="DTFODRKY-2"/>
    <w:rsid w:val="003F63DA"/>
    <w:rPr>
      <w:rFonts w:ascii="Segoe UI" w:hAnsi="Segoe UI"/>
      <w:color w:val="262626" w:themeColor="text1" w:themeTint="D9"/>
    </w:rPr>
  </w:style>
  <w:style w:type="paragraph" w:styleId="Revize">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after="60"/>
      <w:jc w:val="left"/>
    </w:pPr>
  </w:style>
  <w:style w:type="character" w:customStyle="1" w:styleId="DTFODRAKY-3Char">
    <w:name w:val="DTF_ODRAŽKY-3 Char"/>
    <w:basedOn w:val="STODRKYChar"/>
    <w:link w:val="DTFODRAKY-3"/>
    <w:rsid w:val="00237250"/>
    <w:rPr>
      <w:rFonts w:ascii="Segoe UI" w:hAnsi="Segoe UI"/>
      <w:color w:val="262626" w:themeColor="text1" w:themeTint="D9"/>
    </w:rPr>
  </w:style>
  <w:style w:type="paragraph" w:customStyle="1" w:styleId="STZKRATKY">
    <w:name w:val="S+T_ZKRATKY"/>
    <w:basedOn w:val="Normln"/>
    <w:link w:val="STZKRATKYChar"/>
    <w:qFormat/>
    <w:rsid w:val="00B27673"/>
    <w:pPr>
      <w:tabs>
        <w:tab w:val="left" w:pos="1134"/>
      </w:tabs>
      <w:spacing w:after="120" w:line="288" w:lineRule="auto"/>
      <w:jc w:val="left"/>
    </w:pPr>
    <w:rPr>
      <w:rFonts w:ascii="Segoe UI" w:hAnsi="Segoe UI" w:cs="Segoe UI"/>
    </w:rPr>
  </w:style>
  <w:style w:type="character" w:customStyle="1" w:styleId="STZKRATKYChar">
    <w:name w:val="S+T_ZKRATKY Char"/>
    <w:basedOn w:val="Standardnpsmoodstavce"/>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7"/>
      </w:numPr>
      <w:spacing w:before="0" w:after="120" w:line="288" w:lineRule="auto"/>
    </w:pPr>
    <w:rPr>
      <w:rFonts w:ascii="Calibri" w:hAnsi="Calibri"/>
      <w:color w:val="F56C17"/>
      <w:sz w:val="24"/>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
    <w:link w:val="DTFPOZNMKYChar"/>
    <w:rsid w:val="00662D0A"/>
    <w:pPr>
      <w:jc w:val="left"/>
    </w:pPr>
    <w:rPr>
      <w:i/>
      <w:sz w:val="20"/>
    </w:rPr>
  </w:style>
  <w:style w:type="character" w:customStyle="1" w:styleId="DTFPOZNMKYChar">
    <w:name w:val="DTF_POZNÁMKY Char"/>
    <w:basedOn w:val="Standardnpsmoodstavce"/>
    <w:link w:val="DTFPOZNMKY"/>
    <w:rsid w:val="00662D0A"/>
    <w:rPr>
      <w:i/>
      <w:sz w:val="20"/>
    </w:rPr>
  </w:style>
  <w:style w:type="paragraph" w:styleId="Obsah4">
    <w:name w:val="toc 4"/>
    <w:basedOn w:val="Normln"/>
    <w:next w:val="Normln"/>
    <w:autoRedefine/>
    <w:uiPriority w:val="39"/>
    <w:unhideWhenUsed/>
    <w:rsid w:val="00145B56"/>
    <w:pPr>
      <w:spacing w:after="0"/>
      <w:ind w:left="660"/>
      <w:jc w:val="left"/>
    </w:pPr>
    <w:rPr>
      <w:sz w:val="18"/>
      <w:szCs w:val="18"/>
    </w:rPr>
  </w:style>
  <w:style w:type="paragraph" w:styleId="Obsah5">
    <w:name w:val="toc 5"/>
    <w:basedOn w:val="Normln"/>
    <w:next w:val="Normln"/>
    <w:autoRedefine/>
    <w:uiPriority w:val="39"/>
    <w:unhideWhenUsed/>
    <w:rsid w:val="00DC29A8"/>
    <w:pPr>
      <w:spacing w:after="0"/>
      <w:ind w:left="880"/>
      <w:jc w:val="left"/>
    </w:pPr>
    <w:rPr>
      <w:sz w:val="18"/>
      <w:szCs w:val="18"/>
    </w:rPr>
  </w:style>
  <w:style w:type="paragraph" w:styleId="Obsah6">
    <w:name w:val="toc 6"/>
    <w:basedOn w:val="Normln"/>
    <w:next w:val="Normln"/>
    <w:autoRedefine/>
    <w:uiPriority w:val="39"/>
    <w:unhideWhenUsed/>
    <w:rsid w:val="00DC29A8"/>
    <w:pPr>
      <w:spacing w:after="0"/>
      <w:ind w:left="1100"/>
      <w:jc w:val="left"/>
    </w:pPr>
    <w:rPr>
      <w:sz w:val="18"/>
      <w:szCs w:val="18"/>
    </w:rPr>
  </w:style>
  <w:style w:type="paragraph" w:styleId="Obsah7">
    <w:name w:val="toc 7"/>
    <w:basedOn w:val="Normln"/>
    <w:next w:val="Normln"/>
    <w:autoRedefine/>
    <w:uiPriority w:val="39"/>
    <w:unhideWhenUsed/>
    <w:rsid w:val="00DC29A8"/>
    <w:pPr>
      <w:spacing w:after="0"/>
      <w:ind w:left="1320"/>
      <w:jc w:val="left"/>
    </w:pPr>
    <w:rPr>
      <w:sz w:val="18"/>
      <w:szCs w:val="18"/>
    </w:rPr>
  </w:style>
  <w:style w:type="paragraph" w:styleId="Obsah8">
    <w:name w:val="toc 8"/>
    <w:basedOn w:val="Normln"/>
    <w:next w:val="Normln"/>
    <w:autoRedefine/>
    <w:uiPriority w:val="39"/>
    <w:unhideWhenUsed/>
    <w:rsid w:val="00DC29A8"/>
    <w:pPr>
      <w:spacing w:after="0"/>
      <w:ind w:left="1540"/>
      <w:jc w:val="left"/>
    </w:pPr>
    <w:rPr>
      <w:sz w:val="18"/>
      <w:szCs w:val="18"/>
    </w:rPr>
  </w:style>
  <w:style w:type="paragraph" w:styleId="Obsah9">
    <w:name w:val="toc 9"/>
    <w:basedOn w:val="Normln"/>
    <w:next w:val="Normln"/>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
    <w:name w:val="annotation reference"/>
    <w:basedOn w:val="Standardnpsmoodstavce"/>
    <w:uiPriority w:val="99"/>
    <w:semiHidden/>
    <w:unhideWhenUsed/>
    <w:rsid w:val="00E1408D"/>
    <w:rPr>
      <w:sz w:val="16"/>
      <w:szCs w:val="16"/>
    </w:rPr>
  </w:style>
  <w:style w:type="paragraph" w:styleId="Textkomente">
    <w:name w:val="annotation text"/>
    <w:basedOn w:val="Normln"/>
    <w:link w:val="TextkomenteChar"/>
    <w:uiPriority w:val="99"/>
    <w:semiHidden/>
    <w:unhideWhenUsed/>
    <w:rsid w:val="00E1408D"/>
    <w:pPr>
      <w:spacing w:line="240" w:lineRule="auto"/>
    </w:pPr>
    <w:rPr>
      <w:sz w:val="20"/>
      <w:szCs w:val="20"/>
    </w:rPr>
  </w:style>
  <w:style w:type="character" w:customStyle="1" w:styleId="TextkomenteChar">
    <w:name w:val="Text komentáře Char"/>
    <w:basedOn w:val="Standardnpsmoodstavce"/>
    <w:link w:val="Textkomente"/>
    <w:uiPriority w:val="99"/>
    <w:semiHidden/>
    <w:rsid w:val="00E1408D"/>
    <w:rPr>
      <w:sz w:val="20"/>
      <w:szCs w:val="20"/>
    </w:rPr>
  </w:style>
  <w:style w:type="paragraph" w:styleId="Pedmtkomente">
    <w:name w:val="annotation subject"/>
    <w:basedOn w:val="Textkomente"/>
    <w:next w:val="Textkomente"/>
    <w:link w:val="PedmtkomenteChar"/>
    <w:uiPriority w:val="99"/>
    <w:semiHidden/>
    <w:unhideWhenUsed/>
    <w:rsid w:val="00E1408D"/>
    <w:rPr>
      <w:b/>
      <w:bCs/>
    </w:rPr>
  </w:style>
  <w:style w:type="character" w:customStyle="1" w:styleId="PedmtkomenteChar">
    <w:name w:val="Předmět komentáře Char"/>
    <w:basedOn w:val="TextkomenteChar"/>
    <w:link w:val="Pedmtkomente"/>
    <w:uiPriority w:val="99"/>
    <w:semiHidden/>
    <w:rsid w:val="00E1408D"/>
    <w:rPr>
      <w:b/>
      <w:bCs/>
      <w:sz w:val="20"/>
      <w:szCs w:val="20"/>
    </w:rPr>
  </w:style>
  <w:style w:type="paragraph" w:customStyle="1" w:styleId="DTFNADPIS2BEZCISEL">
    <w:name w:val="DTF_NADPIS2_BEZ CISEL"/>
    <w:basedOn w:val="STNADPIS2"/>
    <w:link w:val="DTFNADPIS2BEZCISELChar"/>
    <w:rsid w:val="00612A2A"/>
    <w:pPr>
      <w:numPr>
        <w:ilvl w:val="0"/>
        <w:numId w:val="0"/>
      </w:numPr>
    </w:pPr>
  </w:style>
  <w:style w:type="character" w:customStyle="1" w:styleId="DTFNADPIS2BEZCISELChar">
    <w:name w:val="DTF_NADPIS2_BEZ CISEL Char"/>
    <w:basedOn w:val="STNADPIS2Char"/>
    <w:link w:val="DTFNADPIS2BEZCISEL"/>
    <w:rsid w:val="00612A2A"/>
    <w:rPr>
      <w:rFonts w:ascii="Segoe UI" w:hAnsi="Segoe UI" w:cs="Arial"/>
      <w:b/>
      <w:color w:val="F56C17"/>
      <w:sz w:val="28"/>
    </w:rPr>
  </w:style>
  <w:style w:type="paragraph" w:customStyle="1" w:styleId="DTFTITUL">
    <w:name w:val="DTF_TITUL"/>
    <w:basedOn w:val="Normln"/>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Standardnpsmoodstavce"/>
    <w:link w:val="DTFTITUL"/>
    <w:rsid w:val="00E63A62"/>
    <w:rPr>
      <w:rFonts w:ascii="Arial" w:hAnsi="Arial" w:cs="Arial"/>
      <w:b/>
      <w:color w:val="F56C17"/>
      <w:sz w:val="32"/>
      <w:szCs w:val="20"/>
    </w:rPr>
  </w:style>
  <w:style w:type="paragraph" w:customStyle="1" w:styleId="Styl1">
    <w:name w:val="Styl1"/>
    <w:basedOn w:val="Normln"/>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
    <w:link w:val="Zkladntext2Char"/>
    <w:rsid w:val="00E51235"/>
    <w:pPr>
      <w:spacing w:after="0" w:line="240" w:lineRule="auto"/>
      <w:jc w:val="center"/>
    </w:pPr>
    <w:rPr>
      <w:rFonts w:ascii="Arial" w:eastAsia="Times New Roman" w:hAnsi="Arial" w:cs="Times New Roman"/>
      <w:b/>
      <w:sz w:val="32"/>
      <w:szCs w:val="20"/>
      <w:lang w:eastAsia="cs-CZ"/>
    </w:rPr>
  </w:style>
  <w:style w:type="character" w:customStyle="1" w:styleId="Zkladntext2Char">
    <w:name w:val="Základní text 2 Char"/>
    <w:basedOn w:val="Standardnpsmoodstavce"/>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
    <w:autoRedefine/>
    <w:rsid w:val="00E51235"/>
    <w:pPr>
      <w:numPr>
        <w:ilvl w:val="1"/>
        <w:numId w:val="3"/>
      </w:numPr>
      <w:spacing w:after="0" w:line="240" w:lineRule="auto"/>
    </w:pPr>
    <w:rPr>
      <w:rFonts w:ascii="Arial" w:eastAsia="Times New Roman" w:hAnsi="Arial" w:cs="Times New Roman"/>
      <w:sz w:val="24"/>
      <w:szCs w:val="24"/>
      <w:lang w:eastAsia="cs-CZ"/>
    </w:rPr>
  </w:style>
  <w:style w:type="paragraph" w:styleId="Zkladntext">
    <w:name w:val="Body Text"/>
    <w:basedOn w:val="Normln"/>
    <w:link w:val="ZkladntextChar"/>
    <w:rsid w:val="00E51235"/>
    <w:pPr>
      <w:spacing w:after="120" w:line="240" w:lineRule="auto"/>
    </w:pPr>
    <w:rPr>
      <w:rFonts w:ascii="Arial" w:eastAsia="Times New Roman" w:hAnsi="Arial" w:cs="Times New Roman"/>
      <w:sz w:val="24"/>
      <w:szCs w:val="24"/>
      <w:lang w:eastAsia="cs-CZ"/>
    </w:rPr>
  </w:style>
  <w:style w:type="character" w:customStyle="1" w:styleId="ZkladntextChar">
    <w:name w:val="Základní text Char"/>
    <w:basedOn w:val="Standardnpsmoodstavce"/>
    <w:link w:val="Zkladntext"/>
    <w:rsid w:val="00E51235"/>
    <w:rPr>
      <w:rFonts w:ascii="Arial" w:eastAsia="Times New Roman" w:hAnsi="Arial" w:cs="Times New Roman"/>
      <w:sz w:val="24"/>
      <w:szCs w:val="24"/>
      <w:lang w:eastAsia="cs-CZ"/>
    </w:rPr>
  </w:style>
  <w:style w:type="character" w:customStyle="1" w:styleId="Normlntun">
    <w:name w:val="Normální tučné"/>
    <w:basedOn w:val="Standardnpsmoodstavce"/>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E51235"/>
    <w:pPr>
      <w:spacing w:after="120" w:line="240" w:lineRule="auto"/>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rsid w:val="00E51235"/>
    <w:rPr>
      <w:rFonts w:ascii="Arial" w:eastAsia="Times New Roman" w:hAnsi="Arial" w:cs="Times New Roman"/>
      <w:sz w:val="16"/>
      <w:szCs w:val="16"/>
      <w:lang w:eastAsia="cs-CZ"/>
    </w:rPr>
  </w:style>
  <w:style w:type="paragraph" w:customStyle="1" w:styleId="Odstavec">
    <w:name w:val="Odstavec"/>
    <w:basedOn w:val="Normln"/>
    <w:rsid w:val="00E51235"/>
    <w:pPr>
      <w:spacing w:before="40" w:after="40" w:line="240" w:lineRule="auto"/>
      <w:jc w:val="left"/>
    </w:pPr>
    <w:rPr>
      <w:rFonts w:ascii="Arial" w:eastAsia="Times New Roman" w:hAnsi="Arial" w:cs="Times New Roman"/>
      <w:szCs w:val="20"/>
      <w:lang w:eastAsia="cs-CZ"/>
    </w:rPr>
  </w:style>
  <w:style w:type="paragraph" w:customStyle="1" w:styleId="aTR12">
    <w:name w:val="aTR12"/>
    <w:basedOn w:val="Normln"/>
    <w:rsid w:val="00E51235"/>
    <w:pPr>
      <w:spacing w:after="0" w:line="240" w:lineRule="auto"/>
      <w:jc w:val="left"/>
    </w:pPr>
    <w:rPr>
      <w:rFonts w:ascii="Times New Roman" w:eastAsia="Times New Roman" w:hAnsi="Times New Roman" w:cs="Times New Roman"/>
      <w:sz w:val="24"/>
      <w:szCs w:val="20"/>
      <w:lang w:eastAsia="cs-CZ"/>
    </w:rPr>
  </w:style>
  <w:style w:type="paragraph" w:customStyle="1" w:styleId="Nadpis4aNadp4TR14tvv">
    <w:name w:val="Nadpis 4.aNadp4 TR14tvv"/>
    <w:basedOn w:val="Normln"/>
    <w:next w:val="Normln"/>
    <w:rsid w:val="00E51235"/>
    <w:pPr>
      <w:keepNext/>
      <w:tabs>
        <w:tab w:val="left" w:pos="864"/>
      </w:tabs>
      <w:spacing w:after="0" w:line="240" w:lineRule="auto"/>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4"/>
      </w:numPr>
      <w:autoSpaceDE w:val="0"/>
      <w:autoSpaceDN w:val="0"/>
      <w:adjustRightInd w:val="0"/>
      <w:spacing w:after="120" w:line="240" w:lineRule="auto"/>
      <w:ind w:left="357" w:hanging="357"/>
      <w:contextualSpacing w:val="0"/>
      <w:jc w:val="left"/>
    </w:pPr>
    <w:rPr>
      <w:rFonts w:ascii="Segoe UI" w:eastAsiaTheme="majorEastAsia" w:hAnsi="Segoe UI" w:cs="HelveticaNeueLTPro-Bd"/>
      <w:sz w:val="32"/>
      <w:szCs w:val="25"/>
      <w:lang w:eastAsia="cs-CZ"/>
    </w:rPr>
  </w:style>
  <w:style w:type="paragraph" w:customStyle="1" w:styleId="Nadpis2">
    <w:name w:val="Nadpis2"/>
    <w:basedOn w:val="Nadpis1"/>
    <w:next w:val="Text"/>
    <w:link w:val="Nadpis2Char0"/>
    <w:autoRedefine/>
    <w:rsid w:val="00E51235"/>
    <w:pPr>
      <w:numPr>
        <w:numId w:val="5"/>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6"/>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
    <w:next w:val="Normln"/>
    <w:rsid w:val="00E51235"/>
    <w:pPr>
      <w:keepNext/>
      <w:spacing w:after="240" w:line="240" w:lineRule="auto"/>
    </w:pPr>
    <w:rPr>
      <w:rFonts w:ascii="Arial" w:eastAsia="Times New Roman" w:hAnsi="Arial" w:cs="Times New Roman"/>
      <w:b/>
      <w:szCs w:val="20"/>
      <w:lang w:eastAsia="cs-CZ"/>
    </w:rPr>
  </w:style>
  <w:style w:type="character" w:customStyle="1" w:styleId="platne1">
    <w:name w:val="platne1"/>
    <w:basedOn w:val="Standardnpsmoodstavce"/>
    <w:rsid w:val="00E51235"/>
  </w:style>
  <w:style w:type="paragraph" w:styleId="Normlnweb">
    <w:name w:val="Normal (Web)"/>
    <w:basedOn w:val="Normln"/>
    <w:uiPriority w:val="99"/>
    <w:unhideWhenUsed/>
    <w:rsid w:val="00E51235"/>
    <w:pPr>
      <w:spacing w:before="100" w:beforeAutospacing="1" w:after="100" w:afterAutospacing="1" w:line="240" w:lineRule="auto"/>
      <w:jc w:val="left"/>
    </w:pPr>
    <w:rPr>
      <w:rFonts w:ascii="Times New Roman" w:eastAsia="Calibri" w:hAnsi="Times New Roman" w:cs="Times New Roman"/>
      <w:sz w:val="24"/>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
    <w:link w:val="STnormalChar"/>
    <w:qFormat/>
    <w:rsid w:val="00D42471"/>
    <w:pPr>
      <w:spacing w:after="60" w:line="264" w:lineRule="auto"/>
      <w:jc w:val="left"/>
    </w:pPr>
    <w:rPr>
      <w:rFonts w:ascii="Segoe UI" w:hAnsi="Segoe UI" w:cs="Segoe UI"/>
      <w:szCs w:val="20"/>
    </w:rPr>
  </w:style>
  <w:style w:type="character" w:customStyle="1" w:styleId="STnormalChar">
    <w:name w:val="S+T_normal Char"/>
    <w:basedOn w:val="Standardnpsmoodstavce"/>
    <w:link w:val="STnormal"/>
    <w:rsid w:val="00D42471"/>
    <w:rPr>
      <w:rFonts w:ascii="Segoe UI" w:hAnsi="Segoe UI" w:cs="Segoe UI"/>
      <w:szCs w:val="20"/>
    </w:rPr>
  </w:style>
  <w:style w:type="character" w:customStyle="1" w:styleId="OdstavecseseznamemChar">
    <w:name w:val="Odstavec se seznamem Char"/>
    <w:basedOn w:val="Standardnpsmoodstavce"/>
    <w:link w:val="Odstavecseseznamem"/>
    <w:uiPriority w:val="34"/>
    <w:locked/>
    <w:rsid w:val="00DD53CD"/>
  </w:style>
  <w:style w:type="paragraph" w:customStyle="1" w:styleId="STNADPIS3">
    <w:name w:val="S+T_NADPIS3"/>
    <w:basedOn w:val="Nadpis20"/>
    <w:link w:val="STNADPIS3Char"/>
    <w:qFormat/>
    <w:rsid w:val="00761CB4"/>
    <w:pPr>
      <w:keepNext/>
      <w:keepLines/>
      <w:numPr>
        <w:ilvl w:val="2"/>
        <w:numId w:val="7"/>
      </w:numPr>
      <w:spacing w:before="200" w:after="40" w:line="288" w:lineRule="auto"/>
      <w:contextualSpacing w:val="0"/>
    </w:pPr>
    <w:rPr>
      <w:rFonts w:ascii="Segoe UI" w:hAnsi="Segoe UI" w:cs="Segoe UI"/>
      <w:sz w:val="24"/>
    </w:rPr>
  </w:style>
  <w:style w:type="character" w:customStyle="1" w:styleId="STNADPIS3Char">
    <w:name w:val="S+T_NADPIS3 Char"/>
    <w:basedOn w:val="Nadpis2Char"/>
    <w:link w:val="STNADPIS3"/>
    <w:rsid w:val="00761CB4"/>
    <w:rPr>
      <w:rFonts w:ascii="Segoe UI" w:hAnsi="Segoe UI" w:cs="Segoe UI"/>
      <w:b/>
      <w:sz w:val="24"/>
    </w:rPr>
  </w:style>
  <w:style w:type="paragraph" w:customStyle="1" w:styleId="STZPAT">
    <w:name w:val="S+T_ZÁPATÍ"/>
    <w:basedOn w:val="Zpat"/>
    <w:link w:val="STZPATChar"/>
    <w:qFormat/>
    <w:rsid w:val="00B13E95"/>
    <w:pPr>
      <w:jc w:val="right"/>
    </w:pPr>
    <w:rPr>
      <w:rFonts w:ascii="Segoe UI" w:hAnsi="Segoe UI" w:cs="Segoe UI"/>
      <w:sz w:val="18"/>
      <w:szCs w:val="18"/>
    </w:rPr>
  </w:style>
  <w:style w:type="character" w:styleId="Nevyeenzmnka">
    <w:name w:val="Unresolved Mention"/>
    <w:basedOn w:val="Standardnpsmoodstavce"/>
    <w:uiPriority w:val="99"/>
    <w:semiHidden/>
    <w:unhideWhenUsed/>
    <w:rsid w:val="00B33AA8"/>
    <w:rPr>
      <w:color w:val="605E5C"/>
      <w:shd w:val="clear" w:color="auto" w:fill="E1DFDD"/>
    </w:rPr>
  </w:style>
  <w:style w:type="character" w:customStyle="1" w:styleId="STZPATChar">
    <w:name w:val="S+T_ZÁPATÍ Char"/>
    <w:basedOn w:val="ZpatChar"/>
    <w:link w:val="STZPAT"/>
    <w:rsid w:val="00B13E95"/>
    <w:rPr>
      <w:rFonts w:ascii="Segoe UI" w:hAnsi="Segoe UI" w:cs="Segoe UI"/>
      <w:sz w:val="18"/>
      <w:szCs w:val="18"/>
    </w:rPr>
  </w:style>
  <w:style w:type="character" w:styleId="Sledovanodkaz">
    <w:name w:val="FollowedHyperlink"/>
    <w:basedOn w:val="Standardnpsmoodstavce"/>
    <w:uiPriority w:val="99"/>
    <w:semiHidden/>
    <w:unhideWhenUsed/>
    <w:rsid w:val="00B33AA8"/>
    <w:rPr>
      <w:color w:val="954F72" w:themeColor="followedHyperlink"/>
      <w:u w:val="single"/>
    </w:rPr>
  </w:style>
  <w:style w:type="paragraph" w:customStyle="1" w:styleId="STNADPIS2a">
    <w:name w:val="S+T_NADPIS2a"/>
    <w:basedOn w:val="STNADPIS2"/>
    <w:link w:val="STNADPIS2aChar"/>
    <w:rsid w:val="004267E0"/>
    <w:rPr>
      <w:b w:val="0"/>
    </w:rPr>
  </w:style>
  <w:style w:type="paragraph" w:customStyle="1" w:styleId="STodrkyabc">
    <w:name w:val="S+T_odrážky abc"/>
    <w:basedOn w:val="STNORMLN-2"/>
    <w:link w:val="STodrkyabcChar"/>
    <w:qFormat/>
    <w:rsid w:val="00E35D91"/>
    <w:pPr>
      <w:numPr>
        <w:numId w:val="12"/>
      </w:numPr>
    </w:pPr>
    <w:rPr>
      <w:bCs/>
      <w:szCs w:val="34"/>
    </w:rPr>
  </w:style>
  <w:style w:type="character" w:customStyle="1" w:styleId="STNADPIS2aChar">
    <w:name w:val="S+T_NADPIS2a Char"/>
    <w:basedOn w:val="STNADPIS2Char"/>
    <w:link w:val="STNADPIS2a"/>
    <w:rsid w:val="004267E0"/>
    <w:rPr>
      <w:rFonts w:ascii="Segoe UI" w:hAnsi="Segoe UI" w:cs="Segoe UI"/>
      <w:b w:val="0"/>
      <w:color w:val="262626" w:themeColor="text1" w:themeTint="D9"/>
      <w:sz w:val="28"/>
    </w:rPr>
  </w:style>
  <w:style w:type="paragraph" w:customStyle="1" w:styleId="STTABULKY">
    <w:name w:val="S+T_TABULKY"/>
    <w:basedOn w:val="STNORMLN-1"/>
    <w:link w:val="STTABULKYChar"/>
    <w:qFormat/>
    <w:rsid w:val="009F6E5E"/>
    <w:pPr>
      <w:spacing w:after="0" w:line="240" w:lineRule="auto"/>
    </w:pPr>
    <w:rPr>
      <w:sz w:val="20"/>
    </w:rPr>
  </w:style>
  <w:style w:type="character" w:customStyle="1" w:styleId="STodrkyabcChar">
    <w:name w:val="S+T_odrážky abc Char"/>
    <w:basedOn w:val="STNORMLN-2Char"/>
    <w:link w:val="STodrkyabc"/>
    <w:rsid w:val="00E35D91"/>
    <w:rPr>
      <w:rFonts w:ascii="Segoe UI" w:hAnsi="Segoe UI"/>
      <w:bCs/>
      <w:color w:val="262626" w:themeColor="text1" w:themeTint="D9"/>
      <w:szCs w:val="34"/>
    </w:rPr>
  </w:style>
  <w:style w:type="character" w:customStyle="1" w:styleId="STTABULKYChar">
    <w:name w:val="S+T_TABULKY Char"/>
    <w:basedOn w:val="STNORMLN-1Char"/>
    <w:link w:val="STTABULKY"/>
    <w:rsid w:val="009F6E5E"/>
    <w:rPr>
      <w:rFonts w:ascii="Segoe UI" w:hAnsi="Segoe UI"/>
      <w:color w:val="262626" w:themeColor="text1" w:themeTint="D9"/>
      <w:sz w:val="20"/>
    </w:rPr>
  </w:style>
  <w:style w:type="character" w:styleId="Siln">
    <w:name w:val="Strong"/>
    <w:basedOn w:val="Standardnpsmoodstavce"/>
    <w:uiPriority w:val="22"/>
    <w:qFormat/>
    <w:rsid w:val="00C13F14"/>
    <w:rPr>
      <w:b/>
      <w:bCs/>
    </w:rPr>
  </w:style>
  <w:style w:type="paragraph" w:customStyle="1" w:styleId="Normln2">
    <w:name w:val="Normální2"/>
    <w:basedOn w:val="Normln"/>
    <w:rsid w:val="00373E07"/>
    <w:pPr>
      <w:widowControl w:val="0"/>
      <w:spacing w:after="0" w:line="240" w:lineRule="auto"/>
      <w:jc w:val="left"/>
    </w:pPr>
    <w:rPr>
      <w:rFonts w:ascii="Times New Roman" w:eastAsia="Times New Roman" w:hAnsi="Times New Roman" w:cs="Times New Roman"/>
      <w:noProof/>
      <w:sz w:val="20"/>
      <w:szCs w:val="20"/>
      <w:lang w:eastAsia="cs-CZ"/>
    </w:rPr>
  </w:style>
  <w:style w:type="paragraph" w:styleId="Prosttext">
    <w:name w:val="Plain Text"/>
    <w:basedOn w:val="Normln"/>
    <w:link w:val="ProsttextChar"/>
    <w:semiHidden/>
    <w:unhideWhenUsed/>
    <w:rsid w:val="00C3485A"/>
    <w:pPr>
      <w:spacing w:after="0" w:line="240" w:lineRule="auto"/>
      <w:jc w:val="left"/>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semiHidden/>
    <w:rsid w:val="00C3485A"/>
    <w:rPr>
      <w:rFonts w:ascii="Courier New" w:eastAsia="Times New Roman" w:hAnsi="Courier New" w:cs="Times New Roman"/>
      <w:sz w:val="20"/>
      <w:szCs w:val="20"/>
      <w:lang w:val="x-none" w:eastAsia="x-none"/>
    </w:rPr>
  </w:style>
  <w:style w:type="paragraph" w:customStyle="1" w:styleId="STNADPIS5">
    <w:name w:val="S+T_NADPIS 5"/>
    <w:basedOn w:val="STNADPIS2"/>
    <w:rsid w:val="004B0F25"/>
    <w:pPr>
      <w:numPr>
        <w:ilvl w:val="0"/>
        <w:numId w:val="0"/>
      </w:numPr>
      <w:spacing w:after="20"/>
    </w:pPr>
    <w:rPr>
      <w:b w:val="0"/>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49930">
      <w:bodyDiv w:val="1"/>
      <w:marLeft w:val="0"/>
      <w:marRight w:val="0"/>
      <w:marTop w:val="0"/>
      <w:marBottom w:val="0"/>
      <w:divBdr>
        <w:top w:val="none" w:sz="0" w:space="0" w:color="auto"/>
        <w:left w:val="none" w:sz="0" w:space="0" w:color="auto"/>
        <w:bottom w:val="none" w:sz="0" w:space="0" w:color="auto"/>
        <w:right w:val="none" w:sz="0" w:space="0" w:color="auto"/>
      </w:divBdr>
    </w:div>
    <w:div w:id="65106403">
      <w:bodyDiv w:val="1"/>
      <w:marLeft w:val="0"/>
      <w:marRight w:val="0"/>
      <w:marTop w:val="0"/>
      <w:marBottom w:val="0"/>
      <w:divBdr>
        <w:top w:val="none" w:sz="0" w:space="0" w:color="auto"/>
        <w:left w:val="none" w:sz="0" w:space="0" w:color="auto"/>
        <w:bottom w:val="none" w:sz="0" w:space="0" w:color="auto"/>
        <w:right w:val="none" w:sz="0" w:space="0" w:color="auto"/>
      </w:divBdr>
    </w:div>
    <w:div w:id="73626745">
      <w:bodyDiv w:val="1"/>
      <w:marLeft w:val="0"/>
      <w:marRight w:val="0"/>
      <w:marTop w:val="0"/>
      <w:marBottom w:val="0"/>
      <w:divBdr>
        <w:top w:val="none" w:sz="0" w:space="0" w:color="auto"/>
        <w:left w:val="none" w:sz="0" w:space="0" w:color="auto"/>
        <w:bottom w:val="none" w:sz="0" w:space="0" w:color="auto"/>
        <w:right w:val="none" w:sz="0" w:space="0" w:color="auto"/>
      </w:divBdr>
    </w:div>
    <w:div w:id="79571755">
      <w:bodyDiv w:val="1"/>
      <w:marLeft w:val="0"/>
      <w:marRight w:val="0"/>
      <w:marTop w:val="0"/>
      <w:marBottom w:val="0"/>
      <w:divBdr>
        <w:top w:val="none" w:sz="0" w:space="0" w:color="auto"/>
        <w:left w:val="none" w:sz="0" w:space="0" w:color="auto"/>
        <w:bottom w:val="none" w:sz="0" w:space="0" w:color="auto"/>
        <w:right w:val="none" w:sz="0" w:space="0" w:color="auto"/>
      </w:divBdr>
    </w:div>
    <w:div w:id="82847281">
      <w:bodyDiv w:val="1"/>
      <w:marLeft w:val="0"/>
      <w:marRight w:val="0"/>
      <w:marTop w:val="0"/>
      <w:marBottom w:val="0"/>
      <w:divBdr>
        <w:top w:val="none" w:sz="0" w:space="0" w:color="auto"/>
        <w:left w:val="none" w:sz="0" w:space="0" w:color="auto"/>
        <w:bottom w:val="none" w:sz="0" w:space="0" w:color="auto"/>
        <w:right w:val="none" w:sz="0" w:space="0" w:color="auto"/>
      </w:divBdr>
    </w:div>
    <w:div w:id="108548442">
      <w:bodyDiv w:val="1"/>
      <w:marLeft w:val="0"/>
      <w:marRight w:val="0"/>
      <w:marTop w:val="0"/>
      <w:marBottom w:val="0"/>
      <w:divBdr>
        <w:top w:val="none" w:sz="0" w:space="0" w:color="auto"/>
        <w:left w:val="none" w:sz="0" w:space="0" w:color="auto"/>
        <w:bottom w:val="none" w:sz="0" w:space="0" w:color="auto"/>
        <w:right w:val="none" w:sz="0" w:space="0" w:color="auto"/>
      </w:divBdr>
    </w:div>
    <w:div w:id="116798453">
      <w:bodyDiv w:val="1"/>
      <w:marLeft w:val="0"/>
      <w:marRight w:val="0"/>
      <w:marTop w:val="0"/>
      <w:marBottom w:val="0"/>
      <w:divBdr>
        <w:top w:val="none" w:sz="0" w:space="0" w:color="auto"/>
        <w:left w:val="none" w:sz="0" w:space="0" w:color="auto"/>
        <w:bottom w:val="none" w:sz="0" w:space="0" w:color="auto"/>
        <w:right w:val="none" w:sz="0" w:space="0" w:color="auto"/>
      </w:divBdr>
    </w:div>
    <w:div w:id="122357326">
      <w:bodyDiv w:val="1"/>
      <w:marLeft w:val="0"/>
      <w:marRight w:val="0"/>
      <w:marTop w:val="0"/>
      <w:marBottom w:val="0"/>
      <w:divBdr>
        <w:top w:val="none" w:sz="0" w:space="0" w:color="auto"/>
        <w:left w:val="none" w:sz="0" w:space="0" w:color="auto"/>
        <w:bottom w:val="none" w:sz="0" w:space="0" w:color="auto"/>
        <w:right w:val="none" w:sz="0" w:space="0" w:color="auto"/>
      </w:divBdr>
    </w:div>
    <w:div w:id="126897582">
      <w:bodyDiv w:val="1"/>
      <w:marLeft w:val="0"/>
      <w:marRight w:val="0"/>
      <w:marTop w:val="0"/>
      <w:marBottom w:val="0"/>
      <w:divBdr>
        <w:top w:val="none" w:sz="0" w:space="0" w:color="auto"/>
        <w:left w:val="none" w:sz="0" w:space="0" w:color="auto"/>
        <w:bottom w:val="none" w:sz="0" w:space="0" w:color="auto"/>
        <w:right w:val="none" w:sz="0" w:space="0" w:color="auto"/>
      </w:divBdr>
    </w:div>
    <w:div w:id="157425223">
      <w:bodyDiv w:val="1"/>
      <w:marLeft w:val="0"/>
      <w:marRight w:val="0"/>
      <w:marTop w:val="0"/>
      <w:marBottom w:val="0"/>
      <w:divBdr>
        <w:top w:val="none" w:sz="0" w:space="0" w:color="auto"/>
        <w:left w:val="none" w:sz="0" w:space="0" w:color="auto"/>
        <w:bottom w:val="none" w:sz="0" w:space="0" w:color="auto"/>
        <w:right w:val="none" w:sz="0" w:space="0" w:color="auto"/>
      </w:divBdr>
    </w:div>
    <w:div w:id="188181129">
      <w:bodyDiv w:val="1"/>
      <w:marLeft w:val="0"/>
      <w:marRight w:val="0"/>
      <w:marTop w:val="0"/>
      <w:marBottom w:val="0"/>
      <w:divBdr>
        <w:top w:val="none" w:sz="0" w:space="0" w:color="auto"/>
        <w:left w:val="none" w:sz="0" w:space="0" w:color="auto"/>
        <w:bottom w:val="none" w:sz="0" w:space="0" w:color="auto"/>
        <w:right w:val="none" w:sz="0" w:space="0" w:color="auto"/>
      </w:divBdr>
    </w:div>
    <w:div w:id="204488388">
      <w:bodyDiv w:val="1"/>
      <w:marLeft w:val="0"/>
      <w:marRight w:val="0"/>
      <w:marTop w:val="0"/>
      <w:marBottom w:val="0"/>
      <w:divBdr>
        <w:top w:val="none" w:sz="0" w:space="0" w:color="auto"/>
        <w:left w:val="none" w:sz="0" w:space="0" w:color="auto"/>
        <w:bottom w:val="none" w:sz="0" w:space="0" w:color="auto"/>
        <w:right w:val="none" w:sz="0" w:space="0" w:color="auto"/>
      </w:divBdr>
    </w:div>
    <w:div w:id="207956402">
      <w:bodyDiv w:val="1"/>
      <w:marLeft w:val="0"/>
      <w:marRight w:val="0"/>
      <w:marTop w:val="0"/>
      <w:marBottom w:val="0"/>
      <w:divBdr>
        <w:top w:val="none" w:sz="0" w:space="0" w:color="auto"/>
        <w:left w:val="none" w:sz="0" w:space="0" w:color="auto"/>
        <w:bottom w:val="none" w:sz="0" w:space="0" w:color="auto"/>
        <w:right w:val="none" w:sz="0" w:space="0" w:color="auto"/>
      </w:divBdr>
    </w:div>
    <w:div w:id="213392743">
      <w:bodyDiv w:val="1"/>
      <w:marLeft w:val="0"/>
      <w:marRight w:val="0"/>
      <w:marTop w:val="0"/>
      <w:marBottom w:val="0"/>
      <w:divBdr>
        <w:top w:val="none" w:sz="0" w:space="0" w:color="auto"/>
        <w:left w:val="none" w:sz="0" w:space="0" w:color="auto"/>
        <w:bottom w:val="none" w:sz="0" w:space="0" w:color="auto"/>
        <w:right w:val="none" w:sz="0" w:space="0" w:color="auto"/>
      </w:divBdr>
    </w:div>
    <w:div w:id="244263057">
      <w:bodyDiv w:val="1"/>
      <w:marLeft w:val="0"/>
      <w:marRight w:val="0"/>
      <w:marTop w:val="0"/>
      <w:marBottom w:val="0"/>
      <w:divBdr>
        <w:top w:val="none" w:sz="0" w:space="0" w:color="auto"/>
        <w:left w:val="none" w:sz="0" w:space="0" w:color="auto"/>
        <w:bottom w:val="none" w:sz="0" w:space="0" w:color="auto"/>
        <w:right w:val="none" w:sz="0" w:space="0" w:color="auto"/>
      </w:divBdr>
    </w:div>
    <w:div w:id="244532356">
      <w:bodyDiv w:val="1"/>
      <w:marLeft w:val="0"/>
      <w:marRight w:val="0"/>
      <w:marTop w:val="0"/>
      <w:marBottom w:val="0"/>
      <w:divBdr>
        <w:top w:val="none" w:sz="0" w:space="0" w:color="auto"/>
        <w:left w:val="none" w:sz="0" w:space="0" w:color="auto"/>
        <w:bottom w:val="none" w:sz="0" w:space="0" w:color="auto"/>
        <w:right w:val="none" w:sz="0" w:space="0" w:color="auto"/>
      </w:divBdr>
    </w:div>
    <w:div w:id="255483616">
      <w:bodyDiv w:val="1"/>
      <w:marLeft w:val="0"/>
      <w:marRight w:val="0"/>
      <w:marTop w:val="0"/>
      <w:marBottom w:val="0"/>
      <w:divBdr>
        <w:top w:val="none" w:sz="0" w:space="0" w:color="auto"/>
        <w:left w:val="none" w:sz="0" w:space="0" w:color="auto"/>
        <w:bottom w:val="none" w:sz="0" w:space="0" w:color="auto"/>
        <w:right w:val="none" w:sz="0" w:space="0" w:color="auto"/>
      </w:divBdr>
    </w:div>
    <w:div w:id="285043949">
      <w:bodyDiv w:val="1"/>
      <w:marLeft w:val="0"/>
      <w:marRight w:val="0"/>
      <w:marTop w:val="0"/>
      <w:marBottom w:val="0"/>
      <w:divBdr>
        <w:top w:val="none" w:sz="0" w:space="0" w:color="auto"/>
        <w:left w:val="none" w:sz="0" w:space="0" w:color="auto"/>
        <w:bottom w:val="none" w:sz="0" w:space="0" w:color="auto"/>
        <w:right w:val="none" w:sz="0" w:space="0" w:color="auto"/>
      </w:divBdr>
    </w:div>
    <w:div w:id="309410012">
      <w:bodyDiv w:val="1"/>
      <w:marLeft w:val="0"/>
      <w:marRight w:val="0"/>
      <w:marTop w:val="0"/>
      <w:marBottom w:val="0"/>
      <w:divBdr>
        <w:top w:val="none" w:sz="0" w:space="0" w:color="auto"/>
        <w:left w:val="none" w:sz="0" w:space="0" w:color="auto"/>
        <w:bottom w:val="none" w:sz="0" w:space="0" w:color="auto"/>
        <w:right w:val="none" w:sz="0" w:space="0" w:color="auto"/>
      </w:divBdr>
    </w:div>
    <w:div w:id="404764614">
      <w:bodyDiv w:val="1"/>
      <w:marLeft w:val="0"/>
      <w:marRight w:val="0"/>
      <w:marTop w:val="0"/>
      <w:marBottom w:val="0"/>
      <w:divBdr>
        <w:top w:val="none" w:sz="0" w:space="0" w:color="auto"/>
        <w:left w:val="none" w:sz="0" w:space="0" w:color="auto"/>
        <w:bottom w:val="none" w:sz="0" w:space="0" w:color="auto"/>
        <w:right w:val="none" w:sz="0" w:space="0" w:color="auto"/>
      </w:divBdr>
    </w:div>
    <w:div w:id="423842934">
      <w:bodyDiv w:val="1"/>
      <w:marLeft w:val="0"/>
      <w:marRight w:val="0"/>
      <w:marTop w:val="0"/>
      <w:marBottom w:val="0"/>
      <w:divBdr>
        <w:top w:val="none" w:sz="0" w:space="0" w:color="auto"/>
        <w:left w:val="none" w:sz="0" w:space="0" w:color="auto"/>
        <w:bottom w:val="none" w:sz="0" w:space="0" w:color="auto"/>
        <w:right w:val="none" w:sz="0" w:space="0" w:color="auto"/>
      </w:divBdr>
    </w:div>
    <w:div w:id="467163207">
      <w:bodyDiv w:val="1"/>
      <w:marLeft w:val="0"/>
      <w:marRight w:val="0"/>
      <w:marTop w:val="0"/>
      <w:marBottom w:val="0"/>
      <w:divBdr>
        <w:top w:val="none" w:sz="0" w:space="0" w:color="auto"/>
        <w:left w:val="none" w:sz="0" w:space="0" w:color="auto"/>
        <w:bottom w:val="none" w:sz="0" w:space="0" w:color="auto"/>
        <w:right w:val="none" w:sz="0" w:space="0" w:color="auto"/>
      </w:divBdr>
    </w:div>
    <w:div w:id="476531322">
      <w:bodyDiv w:val="1"/>
      <w:marLeft w:val="0"/>
      <w:marRight w:val="0"/>
      <w:marTop w:val="0"/>
      <w:marBottom w:val="0"/>
      <w:divBdr>
        <w:top w:val="none" w:sz="0" w:space="0" w:color="auto"/>
        <w:left w:val="none" w:sz="0" w:space="0" w:color="auto"/>
        <w:bottom w:val="none" w:sz="0" w:space="0" w:color="auto"/>
        <w:right w:val="none" w:sz="0" w:space="0" w:color="auto"/>
      </w:divBdr>
    </w:div>
    <w:div w:id="485829862">
      <w:bodyDiv w:val="1"/>
      <w:marLeft w:val="0"/>
      <w:marRight w:val="0"/>
      <w:marTop w:val="0"/>
      <w:marBottom w:val="0"/>
      <w:divBdr>
        <w:top w:val="none" w:sz="0" w:space="0" w:color="auto"/>
        <w:left w:val="none" w:sz="0" w:space="0" w:color="auto"/>
        <w:bottom w:val="none" w:sz="0" w:space="0" w:color="auto"/>
        <w:right w:val="none" w:sz="0" w:space="0" w:color="auto"/>
      </w:divBdr>
    </w:div>
    <w:div w:id="488205287">
      <w:bodyDiv w:val="1"/>
      <w:marLeft w:val="0"/>
      <w:marRight w:val="0"/>
      <w:marTop w:val="0"/>
      <w:marBottom w:val="0"/>
      <w:divBdr>
        <w:top w:val="none" w:sz="0" w:space="0" w:color="auto"/>
        <w:left w:val="none" w:sz="0" w:space="0" w:color="auto"/>
        <w:bottom w:val="none" w:sz="0" w:space="0" w:color="auto"/>
        <w:right w:val="none" w:sz="0" w:space="0" w:color="auto"/>
      </w:divBdr>
    </w:div>
    <w:div w:id="540900965">
      <w:bodyDiv w:val="1"/>
      <w:marLeft w:val="0"/>
      <w:marRight w:val="0"/>
      <w:marTop w:val="0"/>
      <w:marBottom w:val="0"/>
      <w:divBdr>
        <w:top w:val="none" w:sz="0" w:space="0" w:color="auto"/>
        <w:left w:val="none" w:sz="0" w:space="0" w:color="auto"/>
        <w:bottom w:val="none" w:sz="0" w:space="0" w:color="auto"/>
        <w:right w:val="none" w:sz="0" w:space="0" w:color="auto"/>
      </w:divBdr>
    </w:div>
    <w:div w:id="544022251">
      <w:bodyDiv w:val="1"/>
      <w:marLeft w:val="0"/>
      <w:marRight w:val="0"/>
      <w:marTop w:val="0"/>
      <w:marBottom w:val="0"/>
      <w:divBdr>
        <w:top w:val="none" w:sz="0" w:space="0" w:color="auto"/>
        <w:left w:val="none" w:sz="0" w:space="0" w:color="auto"/>
        <w:bottom w:val="none" w:sz="0" w:space="0" w:color="auto"/>
        <w:right w:val="none" w:sz="0" w:space="0" w:color="auto"/>
      </w:divBdr>
    </w:div>
    <w:div w:id="566495683">
      <w:bodyDiv w:val="1"/>
      <w:marLeft w:val="0"/>
      <w:marRight w:val="0"/>
      <w:marTop w:val="0"/>
      <w:marBottom w:val="0"/>
      <w:divBdr>
        <w:top w:val="none" w:sz="0" w:space="0" w:color="auto"/>
        <w:left w:val="none" w:sz="0" w:space="0" w:color="auto"/>
        <w:bottom w:val="none" w:sz="0" w:space="0" w:color="auto"/>
        <w:right w:val="none" w:sz="0" w:space="0" w:color="auto"/>
      </w:divBdr>
    </w:div>
    <w:div w:id="598829740">
      <w:bodyDiv w:val="1"/>
      <w:marLeft w:val="0"/>
      <w:marRight w:val="0"/>
      <w:marTop w:val="0"/>
      <w:marBottom w:val="0"/>
      <w:divBdr>
        <w:top w:val="none" w:sz="0" w:space="0" w:color="auto"/>
        <w:left w:val="none" w:sz="0" w:space="0" w:color="auto"/>
        <w:bottom w:val="none" w:sz="0" w:space="0" w:color="auto"/>
        <w:right w:val="none" w:sz="0" w:space="0" w:color="auto"/>
      </w:divBdr>
    </w:div>
    <w:div w:id="626205109">
      <w:bodyDiv w:val="1"/>
      <w:marLeft w:val="0"/>
      <w:marRight w:val="0"/>
      <w:marTop w:val="0"/>
      <w:marBottom w:val="0"/>
      <w:divBdr>
        <w:top w:val="none" w:sz="0" w:space="0" w:color="auto"/>
        <w:left w:val="none" w:sz="0" w:space="0" w:color="auto"/>
        <w:bottom w:val="none" w:sz="0" w:space="0" w:color="auto"/>
        <w:right w:val="none" w:sz="0" w:space="0" w:color="auto"/>
      </w:divBdr>
    </w:div>
    <w:div w:id="703600862">
      <w:bodyDiv w:val="1"/>
      <w:marLeft w:val="0"/>
      <w:marRight w:val="0"/>
      <w:marTop w:val="0"/>
      <w:marBottom w:val="0"/>
      <w:divBdr>
        <w:top w:val="none" w:sz="0" w:space="0" w:color="auto"/>
        <w:left w:val="none" w:sz="0" w:space="0" w:color="auto"/>
        <w:bottom w:val="none" w:sz="0" w:space="0" w:color="auto"/>
        <w:right w:val="none" w:sz="0" w:space="0" w:color="auto"/>
      </w:divBdr>
    </w:div>
    <w:div w:id="703795703">
      <w:bodyDiv w:val="1"/>
      <w:marLeft w:val="0"/>
      <w:marRight w:val="0"/>
      <w:marTop w:val="0"/>
      <w:marBottom w:val="0"/>
      <w:divBdr>
        <w:top w:val="none" w:sz="0" w:space="0" w:color="auto"/>
        <w:left w:val="none" w:sz="0" w:space="0" w:color="auto"/>
        <w:bottom w:val="none" w:sz="0" w:space="0" w:color="auto"/>
        <w:right w:val="none" w:sz="0" w:space="0" w:color="auto"/>
      </w:divBdr>
    </w:div>
    <w:div w:id="708340231">
      <w:bodyDiv w:val="1"/>
      <w:marLeft w:val="0"/>
      <w:marRight w:val="0"/>
      <w:marTop w:val="0"/>
      <w:marBottom w:val="0"/>
      <w:divBdr>
        <w:top w:val="none" w:sz="0" w:space="0" w:color="auto"/>
        <w:left w:val="none" w:sz="0" w:space="0" w:color="auto"/>
        <w:bottom w:val="none" w:sz="0" w:space="0" w:color="auto"/>
        <w:right w:val="none" w:sz="0" w:space="0" w:color="auto"/>
      </w:divBdr>
    </w:div>
    <w:div w:id="758598530">
      <w:bodyDiv w:val="1"/>
      <w:marLeft w:val="0"/>
      <w:marRight w:val="0"/>
      <w:marTop w:val="0"/>
      <w:marBottom w:val="0"/>
      <w:divBdr>
        <w:top w:val="none" w:sz="0" w:space="0" w:color="auto"/>
        <w:left w:val="none" w:sz="0" w:space="0" w:color="auto"/>
        <w:bottom w:val="none" w:sz="0" w:space="0" w:color="auto"/>
        <w:right w:val="none" w:sz="0" w:space="0" w:color="auto"/>
      </w:divBdr>
    </w:div>
    <w:div w:id="758646006">
      <w:bodyDiv w:val="1"/>
      <w:marLeft w:val="0"/>
      <w:marRight w:val="0"/>
      <w:marTop w:val="0"/>
      <w:marBottom w:val="0"/>
      <w:divBdr>
        <w:top w:val="none" w:sz="0" w:space="0" w:color="auto"/>
        <w:left w:val="none" w:sz="0" w:space="0" w:color="auto"/>
        <w:bottom w:val="none" w:sz="0" w:space="0" w:color="auto"/>
        <w:right w:val="none" w:sz="0" w:space="0" w:color="auto"/>
      </w:divBdr>
    </w:div>
    <w:div w:id="763308549">
      <w:bodyDiv w:val="1"/>
      <w:marLeft w:val="0"/>
      <w:marRight w:val="0"/>
      <w:marTop w:val="0"/>
      <w:marBottom w:val="0"/>
      <w:divBdr>
        <w:top w:val="none" w:sz="0" w:space="0" w:color="auto"/>
        <w:left w:val="none" w:sz="0" w:space="0" w:color="auto"/>
        <w:bottom w:val="none" w:sz="0" w:space="0" w:color="auto"/>
        <w:right w:val="none" w:sz="0" w:space="0" w:color="auto"/>
      </w:divBdr>
    </w:div>
    <w:div w:id="780564474">
      <w:bodyDiv w:val="1"/>
      <w:marLeft w:val="0"/>
      <w:marRight w:val="0"/>
      <w:marTop w:val="0"/>
      <w:marBottom w:val="0"/>
      <w:divBdr>
        <w:top w:val="none" w:sz="0" w:space="0" w:color="auto"/>
        <w:left w:val="none" w:sz="0" w:space="0" w:color="auto"/>
        <w:bottom w:val="none" w:sz="0" w:space="0" w:color="auto"/>
        <w:right w:val="none" w:sz="0" w:space="0" w:color="auto"/>
      </w:divBdr>
    </w:div>
    <w:div w:id="790049189">
      <w:bodyDiv w:val="1"/>
      <w:marLeft w:val="0"/>
      <w:marRight w:val="0"/>
      <w:marTop w:val="0"/>
      <w:marBottom w:val="0"/>
      <w:divBdr>
        <w:top w:val="none" w:sz="0" w:space="0" w:color="auto"/>
        <w:left w:val="none" w:sz="0" w:space="0" w:color="auto"/>
        <w:bottom w:val="none" w:sz="0" w:space="0" w:color="auto"/>
        <w:right w:val="none" w:sz="0" w:space="0" w:color="auto"/>
      </w:divBdr>
    </w:div>
    <w:div w:id="800615672">
      <w:bodyDiv w:val="1"/>
      <w:marLeft w:val="0"/>
      <w:marRight w:val="0"/>
      <w:marTop w:val="0"/>
      <w:marBottom w:val="0"/>
      <w:divBdr>
        <w:top w:val="none" w:sz="0" w:space="0" w:color="auto"/>
        <w:left w:val="none" w:sz="0" w:space="0" w:color="auto"/>
        <w:bottom w:val="none" w:sz="0" w:space="0" w:color="auto"/>
        <w:right w:val="none" w:sz="0" w:space="0" w:color="auto"/>
      </w:divBdr>
    </w:div>
    <w:div w:id="806774768">
      <w:bodyDiv w:val="1"/>
      <w:marLeft w:val="0"/>
      <w:marRight w:val="0"/>
      <w:marTop w:val="0"/>
      <w:marBottom w:val="0"/>
      <w:divBdr>
        <w:top w:val="none" w:sz="0" w:space="0" w:color="auto"/>
        <w:left w:val="none" w:sz="0" w:space="0" w:color="auto"/>
        <w:bottom w:val="none" w:sz="0" w:space="0" w:color="auto"/>
        <w:right w:val="none" w:sz="0" w:space="0" w:color="auto"/>
      </w:divBdr>
    </w:div>
    <w:div w:id="831721497">
      <w:bodyDiv w:val="1"/>
      <w:marLeft w:val="0"/>
      <w:marRight w:val="0"/>
      <w:marTop w:val="0"/>
      <w:marBottom w:val="0"/>
      <w:divBdr>
        <w:top w:val="none" w:sz="0" w:space="0" w:color="auto"/>
        <w:left w:val="none" w:sz="0" w:space="0" w:color="auto"/>
        <w:bottom w:val="none" w:sz="0" w:space="0" w:color="auto"/>
        <w:right w:val="none" w:sz="0" w:space="0" w:color="auto"/>
      </w:divBdr>
    </w:div>
    <w:div w:id="833446976">
      <w:bodyDiv w:val="1"/>
      <w:marLeft w:val="0"/>
      <w:marRight w:val="0"/>
      <w:marTop w:val="0"/>
      <w:marBottom w:val="0"/>
      <w:divBdr>
        <w:top w:val="none" w:sz="0" w:space="0" w:color="auto"/>
        <w:left w:val="none" w:sz="0" w:space="0" w:color="auto"/>
        <w:bottom w:val="none" w:sz="0" w:space="0" w:color="auto"/>
        <w:right w:val="none" w:sz="0" w:space="0" w:color="auto"/>
      </w:divBdr>
    </w:div>
    <w:div w:id="861280076">
      <w:bodyDiv w:val="1"/>
      <w:marLeft w:val="0"/>
      <w:marRight w:val="0"/>
      <w:marTop w:val="0"/>
      <w:marBottom w:val="0"/>
      <w:divBdr>
        <w:top w:val="none" w:sz="0" w:space="0" w:color="auto"/>
        <w:left w:val="none" w:sz="0" w:space="0" w:color="auto"/>
        <w:bottom w:val="none" w:sz="0" w:space="0" w:color="auto"/>
        <w:right w:val="none" w:sz="0" w:space="0" w:color="auto"/>
      </w:divBdr>
    </w:div>
    <w:div w:id="877014056">
      <w:bodyDiv w:val="1"/>
      <w:marLeft w:val="0"/>
      <w:marRight w:val="0"/>
      <w:marTop w:val="0"/>
      <w:marBottom w:val="0"/>
      <w:divBdr>
        <w:top w:val="none" w:sz="0" w:space="0" w:color="auto"/>
        <w:left w:val="none" w:sz="0" w:space="0" w:color="auto"/>
        <w:bottom w:val="none" w:sz="0" w:space="0" w:color="auto"/>
        <w:right w:val="none" w:sz="0" w:space="0" w:color="auto"/>
      </w:divBdr>
    </w:div>
    <w:div w:id="894388231">
      <w:bodyDiv w:val="1"/>
      <w:marLeft w:val="0"/>
      <w:marRight w:val="0"/>
      <w:marTop w:val="0"/>
      <w:marBottom w:val="0"/>
      <w:divBdr>
        <w:top w:val="none" w:sz="0" w:space="0" w:color="auto"/>
        <w:left w:val="none" w:sz="0" w:space="0" w:color="auto"/>
        <w:bottom w:val="none" w:sz="0" w:space="0" w:color="auto"/>
        <w:right w:val="none" w:sz="0" w:space="0" w:color="auto"/>
      </w:divBdr>
    </w:div>
    <w:div w:id="908922986">
      <w:bodyDiv w:val="1"/>
      <w:marLeft w:val="0"/>
      <w:marRight w:val="0"/>
      <w:marTop w:val="0"/>
      <w:marBottom w:val="0"/>
      <w:divBdr>
        <w:top w:val="none" w:sz="0" w:space="0" w:color="auto"/>
        <w:left w:val="none" w:sz="0" w:space="0" w:color="auto"/>
        <w:bottom w:val="none" w:sz="0" w:space="0" w:color="auto"/>
        <w:right w:val="none" w:sz="0" w:space="0" w:color="auto"/>
      </w:divBdr>
    </w:div>
    <w:div w:id="921720558">
      <w:bodyDiv w:val="1"/>
      <w:marLeft w:val="0"/>
      <w:marRight w:val="0"/>
      <w:marTop w:val="0"/>
      <w:marBottom w:val="0"/>
      <w:divBdr>
        <w:top w:val="none" w:sz="0" w:space="0" w:color="auto"/>
        <w:left w:val="none" w:sz="0" w:space="0" w:color="auto"/>
        <w:bottom w:val="none" w:sz="0" w:space="0" w:color="auto"/>
        <w:right w:val="none" w:sz="0" w:space="0" w:color="auto"/>
      </w:divBdr>
    </w:div>
    <w:div w:id="925765748">
      <w:bodyDiv w:val="1"/>
      <w:marLeft w:val="0"/>
      <w:marRight w:val="0"/>
      <w:marTop w:val="0"/>
      <w:marBottom w:val="0"/>
      <w:divBdr>
        <w:top w:val="none" w:sz="0" w:space="0" w:color="auto"/>
        <w:left w:val="none" w:sz="0" w:space="0" w:color="auto"/>
        <w:bottom w:val="none" w:sz="0" w:space="0" w:color="auto"/>
        <w:right w:val="none" w:sz="0" w:space="0" w:color="auto"/>
      </w:divBdr>
    </w:div>
    <w:div w:id="964045306">
      <w:bodyDiv w:val="1"/>
      <w:marLeft w:val="0"/>
      <w:marRight w:val="0"/>
      <w:marTop w:val="0"/>
      <w:marBottom w:val="0"/>
      <w:divBdr>
        <w:top w:val="none" w:sz="0" w:space="0" w:color="auto"/>
        <w:left w:val="none" w:sz="0" w:space="0" w:color="auto"/>
        <w:bottom w:val="none" w:sz="0" w:space="0" w:color="auto"/>
        <w:right w:val="none" w:sz="0" w:space="0" w:color="auto"/>
      </w:divBdr>
    </w:div>
    <w:div w:id="968706930">
      <w:bodyDiv w:val="1"/>
      <w:marLeft w:val="0"/>
      <w:marRight w:val="0"/>
      <w:marTop w:val="0"/>
      <w:marBottom w:val="0"/>
      <w:divBdr>
        <w:top w:val="none" w:sz="0" w:space="0" w:color="auto"/>
        <w:left w:val="none" w:sz="0" w:space="0" w:color="auto"/>
        <w:bottom w:val="none" w:sz="0" w:space="0" w:color="auto"/>
        <w:right w:val="none" w:sz="0" w:space="0" w:color="auto"/>
      </w:divBdr>
    </w:div>
    <w:div w:id="972831774">
      <w:bodyDiv w:val="1"/>
      <w:marLeft w:val="0"/>
      <w:marRight w:val="0"/>
      <w:marTop w:val="0"/>
      <w:marBottom w:val="0"/>
      <w:divBdr>
        <w:top w:val="none" w:sz="0" w:space="0" w:color="auto"/>
        <w:left w:val="none" w:sz="0" w:space="0" w:color="auto"/>
        <w:bottom w:val="none" w:sz="0" w:space="0" w:color="auto"/>
        <w:right w:val="none" w:sz="0" w:space="0" w:color="auto"/>
      </w:divBdr>
    </w:div>
    <w:div w:id="972833162">
      <w:bodyDiv w:val="1"/>
      <w:marLeft w:val="0"/>
      <w:marRight w:val="0"/>
      <w:marTop w:val="0"/>
      <w:marBottom w:val="0"/>
      <w:divBdr>
        <w:top w:val="none" w:sz="0" w:space="0" w:color="auto"/>
        <w:left w:val="none" w:sz="0" w:space="0" w:color="auto"/>
        <w:bottom w:val="none" w:sz="0" w:space="0" w:color="auto"/>
        <w:right w:val="none" w:sz="0" w:space="0" w:color="auto"/>
      </w:divBdr>
    </w:div>
    <w:div w:id="980039738">
      <w:bodyDiv w:val="1"/>
      <w:marLeft w:val="0"/>
      <w:marRight w:val="0"/>
      <w:marTop w:val="0"/>
      <w:marBottom w:val="0"/>
      <w:divBdr>
        <w:top w:val="none" w:sz="0" w:space="0" w:color="auto"/>
        <w:left w:val="none" w:sz="0" w:space="0" w:color="auto"/>
        <w:bottom w:val="none" w:sz="0" w:space="0" w:color="auto"/>
        <w:right w:val="none" w:sz="0" w:space="0" w:color="auto"/>
      </w:divBdr>
    </w:div>
    <w:div w:id="982540777">
      <w:bodyDiv w:val="1"/>
      <w:marLeft w:val="0"/>
      <w:marRight w:val="0"/>
      <w:marTop w:val="0"/>
      <w:marBottom w:val="0"/>
      <w:divBdr>
        <w:top w:val="none" w:sz="0" w:space="0" w:color="auto"/>
        <w:left w:val="none" w:sz="0" w:space="0" w:color="auto"/>
        <w:bottom w:val="none" w:sz="0" w:space="0" w:color="auto"/>
        <w:right w:val="none" w:sz="0" w:space="0" w:color="auto"/>
      </w:divBdr>
    </w:div>
    <w:div w:id="988442341">
      <w:bodyDiv w:val="1"/>
      <w:marLeft w:val="0"/>
      <w:marRight w:val="0"/>
      <w:marTop w:val="0"/>
      <w:marBottom w:val="0"/>
      <w:divBdr>
        <w:top w:val="none" w:sz="0" w:space="0" w:color="auto"/>
        <w:left w:val="none" w:sz="0" w:space="0" w:color="auto"/>
        <w:bottom w:val="none" w:sz="0" w:space="0" w:color="auto"/>
        <w:right w:val="none" w:sz="0" w:space="0" w:color="auto"/>
      </w:divBdr>
    </w:div>
    <w:div w:id="1011614267">
      <w:bodyDiv w:val="1"/>
      <w:marLeft w:val="0"/>
      <w:marRight w:val="0"/>
      <w:marTop w:val="0"/>
      <w:marBottom w:val="0"/>
      <w:divBdr>
        <w:top w:val="none" w:sz="0" w:space="0" w:color="auto"/>
        <w:left w:val="none" w:sz="0" w:space="0" w:color="auto"/>
        <w:bottom w:val="none" w:sz="0" w:space="0" w:color="auto"/>
        <w:right w:val="none" w:sz="0" w:space="0" w:color="auto"/>
      </w:divBdr>
    </w:div>
    <w:div w:id="1021472195">
      <w:bodyDiv w:val="1"/>
      <w:marLeft w:val="0"/>
      <w:marRight w:val="0"/>
      <w:marTop w:val="0"/>
      <w:marBottom w:val="0"/>
      <w:divBdr>
        <w:top w:val="none" w:sz="0" w:space="0" w:color="auto"/>
        <w:left w:val="none" w:sz="0" w:space="0" w:color="auto"/>
        <w:bottom w:val="none" w:sz="0" w:space="0" w:color="auto"/>
        <w:right w:val="none" w:sz="0" w:space="0" w:color="auto"/>
      </w:divBdr>
    </w:div>
    <w:div w:id="1030376729">
      <w:bodyDiv w:val="1"/>
      <w:marLeft w:val="0"/>
      <w:marRight w:val="0"/>
      <w:marTop w:val="0"/>
      <w:marBottom w:val="0"/>
      <w:divBdr>
        <w:top w:val="none" w:sz="0" w:space="0" w:color="auto"/>
        <w:left w:val="none" w:sz="0" w:space="0" w:color="auto"/>
        <w:bottom w:val="none" w:sz="0" w:space="0" w:color="auto"/>
        <w:right w:val="none" w:sz="0" w:space="0" w:color="auto"/>
      </w:divBdr>
    </w:div>
    <w:div w:id="1045325133">
      <w:bodyDiv w:val="1"/>
      <w:marLeft w:val="0"/>
      <w:marRight w:val="0"/>
      <w:marTop w:val="0"/>
      <w:marBottom w:val="0"/>
      <w:divBdr>
        <w:top w:val="none" w:sz="0" w:space="0" w:color="auto"/>
        <w:left w:val="none" w:sz="0" w:space="0" w:color="auto"/>
        <w:bottom w:val="none" w:sz="0" w:space="0" w:color="auto"/>
        <w:right w:val="none" w:sz="0" w:space="0" w:color="auto"/>
      </w:divBdr>
    </w:div>
    <w:div w:id="1052079379">
      <w:bodyDiv w:val="1"/>
      <w:marLeft w:val="0"/>
      <w:marRight w:val="0"/>
      <w:marTop w:val="0"/>
      <w:marBottom w:val="0"/>
      <w:divBdr>
        <w:top w:val="none" w:sz="0" w:space="0" w:color="auto"/>
        <w:left w:val="none" w:sz="0" w:space="0" w:color="auto"/>
        <w:bottom w:val="none" w:sz="0" w:space="0" w:color="auto"/>
        <w:right w:val="none" w:sz="0" w:space="0" w:color="auto"/>
      </w:divBdr>
    </w:div>
    <w:div w:id="1082139029">
      <w:bodyDiv w:val="1"/>
      <w:marLeft w:val="0"/>
      <w:marRight w:val="0"/>
      <w:marTop w:val="0"/>
      <w:marBottom w:val="0"/>
      <w:divBdr>
        <w:top w:val="none" w:sz="0" w:space="0" w:color="auto"/>
        <w:left w:val="none" w:sz="0" w:space="0" w:color="auto"/>
        <w:bottom w:val="none" w:sz="0" w:space="0" w:color="auto"/>
        <w:right w:val="none" w:sz="0" w:space="0" w:color="auto"/>
      </w:divBdr>
    </w:div>
    <w:div w:id="1086339038">
      <w:bodyDiv w:val="1"/>
      <w:marLeft w:val="0"/>
      <w:marRight w:val="0"/>
      <w:marTop w:val="0"/>
      <w:marBottom w:val="0"/>
      <w:divBdr>
        <w:top w:val="none" w:sz="0" w:space="0" w:color="auto"/>
        <w:left w:val="none" w:sz="0" w:space="0" w:color="auto"/>
        <w:bottom w:val="none" w:sz="0" w:space="0" w:color="auto"/>
        <w:right w:val="none" w:sz="0" w:space="0" w:color="auto"/>
      </w:divBdr>
    </w:div>
    <w:div w:id="1100642280">
      <w:bodyDiv w:val="1"/>
      <w:marLeft w:val="0"/>
      <w:marRight w:val="0"/>
      <w:marTop w:val="0"/>
      <w:marBottom w:val="0"/>
      <w:divBdr>
        <w:top w:val="none" w:sz="0" w:space="0" w:color="auto"/>
        <w:left w:val="none" w:sz="0" w:space="0" w:color="auto"/>
        <w:bottom w:val="none" w:sz="0" w:space="0" w:color="auto"/>
        <w:right w:val="none" w:sz="0" w:space="0" w:color="auto"/>
      </w:divBdr>
    </w:div>
    <w:div w:id="1102070726">
      <w:bodyDiv w:val="1"/>
      <w:marLeft w:val="0"/>
      <w:marRight w:val="0"/>
      <w:marTop w:val="0"/>
      <w:marBottom w:val="0"/>
      <w:divBdr>
        <w:top w:val="none" w:sz="0" w:space="0" w:color="auto"/>
        <w:left w:val="none" w:sz="0" w:space="0" w:color="auto"/>
        <w:bottom w:val="none" w:sz="0" w:space="0" w:color="auto"/>
        <w:right w:val="none" w:sz="0" w:space="0" w:color="auto"/>
      </w:divBdr>
    </w:div>
    <w:div w:id="1124688658">
      <w:bodyDiv w:val="1"/>
      <w:marLeft w:val="0"/>
      <w:marRight w:val="0"/>
      <w:marTop w:val="0"/>
      <w:marBottom w:val="0"/>
      <w:divBdr>
        <w:top w:val="none" w:sz="0" w:space="0" w:color="auto"/>
        <w:left w:val="none" w:sz="0" w:space="0" w:color="auto"/>
        <w:bottom w:val="none" w:sz="0" w:space="0" w:color="auto"/>
        <w:right w:val="none" w:sz="0" w:space="0" w:color="auto"/>
      </w:divBdr>
    </w:div>
    <w:div w:id="1160778884">
      <w:bodyDiv w:val="1"/>
      <w:marLeft w:val="0"/>
      <w:marRight w:val="0"/>
      <w:marTop w:val="0"/>
      <w:marBottom w:val="0"/>
      <w:divBdr>
        <w:top w:val="none" w:sz="0" w:space="0" w:color="auto"/>
        <w:left w:val="none" w:sz="0" w:space="0" w:color="auto"/>
        <w:bottom w:val="none" w:sz="0" w:space="0" w:color="auto"/>
        <w:right w:val="none" w:sz="0" w:space="0" w:color="auto"/>
      </w:divBdr>
    </w:div>
    <w:div w:id="1170371555">
      <w:bodyDiv w:val="1"/>
      <w:marLeft w:val="0"/>
      <w:marRight w:val="0"/>
      <w:marTop w:val="0"/>
      <w:marBottom w:val="0"/>
      <w:divBdr>
        <w:top w:val="none" w:sz="0" w:space="0" w:color="auto"/>
        <w:left w:val="none" w:sz="0" w:space="0" w:color="auto"/>
        <w:bottom w:val="none" w:sz="0" w:space="0" w:color="auto"/>
        <w:right w:val="none" w:sz="0" w:space="0" w:color="auto"/>
      </w:divBdr>
    </w:div>
    <w:div w:id="1174415492">
      <w:bodyDiv w:val="1"/>
      <w:marLeft w:val="0"/>
      <w:marRight w:val="0"/>
      <w:marTop w:val="0"/>
      <w:marBottom w:val="0"/>
      <w:divBdr>
        <w:top w:val="none" w:sz="0" w:space="0" w:color="auto"/>
        <w:left w:val="none" w:sz="0" w:space="0" w:color="auto"/>
        <w:bottom w:val="none" w:sz="0" w:space="0" w:color="auto"/>
        <w:right w:val="none" w:sz="0" w:space="0" w:color="auto"/>
      </w:divBdr>
    </w:div>
    <w:div w:id="1177305992">
      <w:bodyDiv w:val="1"/>
      <w:marLeft w:val="0"/>
      <w:marRight w:val="0"/>
      <w:marTop w:val="0"/>
      <w:marBottom w:val="0"/>
      <w:divBdr>
        <w:top w:val="none" w:sz="0" w:space="0" w:color="auto"/>
        <w:left w:val="none" w:sz="0" w:space="0" w:color="auto"/>
        <w:bottom w:val="none" w:sz="0" w:space="0" w:color="auto"/>
        <w:right w:val="none" w:sz="0" w:space="0" w:color="auto"/>
      </w:divBdr>
    </w:div>
    <w:div w:id="1182741780">
      <w:bodyDiv w:val="1"/>
      <w:marLeft w:val="0"/>
      <w:marRight w:val="0"/>
      <w:marTop w:val="0"/>
      <w:marBottom w:val="0"/>
      <w:divBdr>
        <w:top w:val="none" w:sz="0" w:space="0" w:color="auto"/>
        <w:left w:val="none" w:sz="0" w:space="0" w:color="auto"/>
        <w:bottom w:val="none" w:sz="0" w:space="0" w:color="auto"/>
        <w:right w:val="none" w:sz="0" w:space="0" w:color="auto"/>
      </w:divBdr>
    </w:div>
    <w:div w:id="1189756524">
      <w:bodyDiv w:val="1"/>
      <w:marLeft w:val="0"/>
      <w:marRight w:val="0"/>
      <w:marTop w:val="0"/>
      <w:marBottom w:val="0"/>
      <w:divBdr>
        <w:top w:val="none" w:sz="0" w:space="0" w:color="auto"/>
        <w:left w:val="none" w:sz="0" w:space="0" w:color="auto"/>
        <w:bottom w:val="none" w:sz="0" w:space="0" w:color="auto"/>
        <w:right w:val="none" w:sz="0" w:space="0" w:color="auto"/>
      </w:divBdr>
    </w:div>
    <w:div w:id="1196194128">
      <w:bodyDiv w:val="1"/>
      <w:marLeft w:val="0"/>
      <w:marRight w:val="0"/>
      <w:marTop w:val="0"/>
      <w:marBottom w:val="0"/>
      <w:divBdr>
        <w:top w:val="none" w:sz="0" w:space="0" w:color="auto"/>
        <w:left w:val="none" w:sz="0" w:space="0" w:color="auto"/>
        <w:bottom w:val="none" w:sz="0" w:space="0" w:color="auto"/>
        <w:right w:val="none" w:sz="0" w:space="0" w:color="auto"/>
      </w:divBdr>
    </w:div>
    <w:div w:id="1199273397">
      <w:bodyDiv w:val="1"/>
      <w:marLeft w:val="0"/>
      <w:marRight w:val="0"/>
      <w:marTop w:val="0"/>
      <w:marBottom w:val="0"/>
      <w:divBdr>
        <w:top w:val="none" w:sz="0" w:space="0" w:color="auto"/>
        <w:left w:val="none" w:sz="0" w:space="0" w:color="auto"/>
        <w:bottom w:val="none" w:sz="0" w:space="0" w:color="auto"/>
        <w:right w:val="none" w:sz="0" w:space="0" w:color="auto"/>
      </w:divBdr>
    </w:div>
    <w:div w:id="1200049718">
      <w:bodyDiv w:val="1"/>
      <w:marLeft w:val="0"/>
      <w:marRight w:val="0"/>
      <w:marTop w:val="0"/>
      <w:marBottom w:val="0"/>
      <w:divBdr>
        <w:top w:val="none" w:sz="0" w:space="0" w:color="auto"/>
        <w:left w:val="none" w:sz="0" w:space="0" w:color="auto"/>
        <w:bottom w:val="none" w:sz="0" w:space="0" w:color="auto"/>
        <w:right w:val="none" w:sz="0" w:space="0" w:color="auto"/>
      </w:divBdr>
    </w:div>
    <w:div w:id="1205948343">
      <w:bodyDiv w:val="1"/>
      <w:marLeft w:val="0"/>
      <w:marRight w:val="0"/>
      <w:marTop w:val="0"/>
      <w:marBottom w:val="0"/>
      <w:divBdr>
        <w:top w:val="none" w:sz="0" w:space="0" w:color="auto"/>
        <w:left w:val="none" w:sz="0" w:space="0" w:color="auto"/>
        <w:bottom w:val="none" w:sz="0" w:space="0" w:color="auto"/>
        <w:right w:val="none" w:sz="0" w:space="0" w:color="auto"/>
      </w:divBdr>
    </w:div>
    <w:div w:id="1230263166">
      <w:bodyDiv w:val="1"/>
      <w:marLeft w:val="0"/>
      <w:marRight w:val="0"/>
      <w:marTop w:val="0"/>
      <w:marBottom w:val="0"/>
      <w:divBdr>
        <w:top w:val="none" w:sz="0" w:space="0" w:color="auto"/>
        <w:left w:val="none" w:sz="0" w:space="0" w:color="auto"/>
        <w:bottom w:val="none" w:sz="0" w:space="0" w:color="auto"/>
        <w:right w:val="none" w:sz="0" w:space="0" w:color="auto"/>
      </w:divBdr>
    </w:div>
    <w:div w:id="1264462317">
      <w:bodyDiv w:val="1"/>
      <w:marLeft w:val="0"/>
      <w:marRight w:val="0"/>
      <w:marTop w:val="0"/>
      <w:marBottom w:val="0"/>
      <w:divBdr>
        <w:top w:val="none" w:sz="0" w:space="0" w:color="auto"/>
        <w:left w:val="none" w:sz="0" w:space="0" w:color="auto"/>
        <w:bottom w:val="none" w:sz="0" w:space="0" w:color="auto"/>
        <w:right w:val="none" w:sz="0" w:space="0" w:color="auto"/>
      </w:divBdr>
    </w:div>
    <w:div w:id="1266838807">
      <w:bodyDiv w:val="1"/>
      <w:marLeft w:val="0"/>
      <w:marRight w:val="0"/>
      <w:marTop w:val="0"/>
      <w:marBottom w:val="0"/>
      <w:divBdr>
        <w:top w:val="none" w:sz="0" w:space="0" w:color="auto"/>
        <w:left w:val="none" w:sz="0" w:space="0" w:color="auto"/>
        <w:bottom w:val="none" w:sz="0" w:space="0" w:color="auto"/>
        <w:right w:val="none" w:sz="0" w:space="0" w:color="auto"/>
      </w:divBdr>
    </w:div>
    <w:div w:id="1275673687">
      <w:bodyDiv w:val="1"/>
      <w:marLeft w:val="0"/>
      <w:marRight w:val="0"/>
      <w:marTop w:val="0"/>
      <w:marBottom w:val="0"/>
      <w:divBdr>
        <w:top w:val="none" w:sz="0" w:space="0" w:color="auto"/>
        <w:left w:val="none" w:sz="0" w:space="0" w:color="auto"/>
        <w:bottom w:val="none" w:sz="0" w:space="0" w:color="auto"/>
        <w:right w:val="none" w:sz="0" w:space="0" w:color="auto"/>
      </w:divBdr>
    </w:div>
    <w:div w:id="1279529968">
      <w:bodyDiv w:val="1"/>
      <w:marLeft w:val="0"/>
      <w:marRight w:val="0"/>
      <w:marTop w:val="0"/>
      <w:marBottom w:val="0"/>
      <w:divBdr>
        <w:top w:val="none" w:sz="0" w:space="0" w:color="auto"/>
        <w:left w:val="none" w:sz="0" w:space="0" w:color="auto"/>
        <w:bottom w:val="none" w:sz="0" w:space="0" w:color="auto"/>
        <w:right w:val="none" w:sz="0" w:space="0" w:color="auto"/>
      </w:divBdr>
    </w:div>
    <w:div w:id="1280605884">
      <w:bodyDiv w:val="1"/>
      <w:marLeft w:val="0"/>
      <w:marRight w:val="0"/>
      <w:marTop w:val="0"/>
      <w:marBottom w:val="0"/>
      <w:divBdr>
        <w:top w:val="none" w:sz="0" w:space="0" w:color="auto"/>
        <w:left w:val="none" w:sz="0" w:space="0" w:color="auto"/>
        <w:bottom w:val="none" w:sz="0" w:space="0" w:color="auto"/>
        <w:right w:val="none" w:sz="0" w:space="0" w:color="auto"/>
      </w:divBdr>
    </w:div>
    <w:div w:id="1286425119">
      <w:bodyDiv w:val="1"/>
      <w:marLeft w:val="0"/>
      <w:marRight w:val="0"/>
      <w:marTop w:val="0"/>
      <w:marBottom w:val="0"/>
      <w:divBdr>
        <w:top w:val="none" w:sz="0" w:space="0" w:color="auto"/>
        <w:left w:val="none" w:sz="0" w:space="0" w:color="auto"/>
        <w:bottom w:val="none" w:sz="0" w:space="0" w:color="auto"/>
        <w:right w:val="none" w:sz="0" w:space="0" w:color="auto"/>
      </w:divBdr>
    </w:div>
    <w:div w:id="1290164298">
      <w:bodyDiv w:val="1"/>
      <w:marLeft w:val="0"/>
      <w:marRight w:val="0"/>
      <w:marTop w:val="0"/>
      <w:marBottom w:val="0"/>
      <w:divBdr>
        <w:top w:val="none" w:sz="0" w:space="0" w:color="auto"/>
        <w:left w:val="none" w:sz="0" w:space="0" w:color="auto"/>
        <w:bottom w:val="none" w:sz="0" w:space="0" w:color="auto"/>
        <w:right w:val="none" w:sz="0" w:space="0" w:color="auto"/>
      </w:divBdr>
    </w:div>
    <w:div w:id="1335111395">
      <w:bodyDiv w:val="1"/>
      <w:marLeft w:val="0"/>
      <w:marRight w:val="0"/>
      <w:marTop w:val="0"/>
      <w:marBottom w:val="0"/>
      <w:divBdr>
        <w:top w:val="none" w:sz="0" w:space="0" w:color="auto"/>
        <w:left w:val="none" w:sz="0" w:space="0" w:color="auto"/>
        <w:bottom w:val="none" w:sz="0" w:space="0" w:color="auto"/>
        <w:right w:val="none" w:sz="0" w:space="0" w:color="auto"/>
      </w:divBdr>
    </w:div>
    <w:div w:id="1363167620">
      <w:bodyDiv w:val="1"/>
      <w:marLeft w:val="0"/>
      <w:marRight w:val="0"/>
      <w:marTop w:val="0"/>
      <w:marBottom w:val="0"/>
      <w:divBdr>
        <w:top w:val="none" w:sz="0" w:space="0" w:color="auto"/>
        <w:left w:val="none" w:sz="0" w:space="0" w:color="auto"/>
        <w:bottom w:val="none" w:sz="0" w:space="0" w:color="auto"/>
        <w:right w:val="none" w:sz="0" w:space="0" w:color="auto"/>
      </w:divBdr>
    </w:div>
    <w:div w:id="1386177598">
      <w:bodyDiv w:val="1"/>
      <w:marLeft w:val="0"/>
      <w:marRight w:val="0"/>
      <w:marTop w:val="0"/>
      <w:marBottom w:val="0"/>
      <w:divBdr>
        <w:top w:val="none" w:sz="0" w:space="0" w:color="auto"/>
        <w:left w:val="none" w:sz="0" w:space="0" w:color="auto"/>
        <w:bottom w:val="none" w:sz="0" w:space="0" w:color="auto"/>
        <w:right w:val="none" w:sz="0" w:space="0" w:color="auto"/>
      </w:divBdr>
    </w:div>
    <w:div w:id="1388600722">
      <w:bodyDiv w:val="1"/>
      <w:marLeft w:val="0"/>
      <w:marRight w:val="0"/>
      <w:marTop w:val="0"/>
      <w:marBottom w:val="0"/>
      <w:divBdr>
        <w:top w:val="none" w:sz="0" w:space="0" w:color="auto"/>
        <w:left w:val="none" w:sz="0" w:space="0" w:color="auto"/>
        <w:bottom w:val="none" w:sz="0" w:space="0" w:color="auto"/>
        <w:right w:val="none" w:sz="0" w:space="0" w:color="auto"/>
      </w:divBdr>
    </w:div>
    <w:div w:id="1405644945">
      <w:bodyDiv w:val="1"/>
      <w:marLeft w:val="0"/>
      <w:marRight w:val="0"/>
      <w:marTop w:val="0"/>
      <w:marBottom w:val="0"/>
      <w:divBdr>
        <w:top w:val="none" w:sz="0" w:space="0" w:color="auto"/>
        <w:left w:val="none" w:sz="0" w:space="0" w:color="auto"/>
        <w:bottom w:val="none" w:sz="0" w:space="0" w:color="auto"/>
        <w:right w:val="none" w:sz="0" w:space="0" w:color="auto"/>
      </w:divBdr>
    </w:div>
    <w:div w:id="1435515454">
      <w:bodyDiv w:val="1"/>
      <w:marLeft w:val="0"/>
      <w:marRight w:val="0"/>
      <w:marTop w:val="0"/>
      <w:marBottom w:val="0"/>
      <w:divBdr>
        <w:top w:val="none" w:sz="0" w:space="0" w:color="auto"/>
        <w:left w:val="none" w:sz="0" w:space="0" w:color="auto"/>
        <w:bottom w:val="none" w:sz="0" w:space="0" w:color="auto"/>
        <w:right w:val="none" w:sz="0" w:space="0" w:color="auto"/>
      </w:divBdr>
    </w:div>
    <w:div w:id="1447964030">
      <w:bodyDiv w:val="1"/>
      <w:marLeft w:val="0"/>
      <w:marRight w:val="0"/>
      <w:marTop w:val="0"/>
      <w:marBottom w:val="0"/>
      <w:divBdr>
        <w:top w:val="none" w:sz="0" w:space="0" w:color="auto"/>
        <w:left w:val="none" w:sz="0" w:space="0" w:color="auto"/>
        <w:bottom w:val="none" w:sz="0" w:space="0" w:color="auto"/>
        <w:right w:val="none" w:sz="0" w:space="0" w:color="auto"/>
      </w:divBdr>
    </w:div>
    <w:div w:id="1448501698">
      <w:bodyDiv w:val="1"/>
      <w:marLeft w:val="0"/>
      <w:marRight w:val="0"/>
      <w:marTop w:val="0"/>
      <w:marBottom w:val="0"/>
      <w:divBdr>
        <w:top w:val="none" w:sz="0" w:space="0" w:color="auto"/>
        <w:left w:val="none" w:sz="0" w:space="0" w:color="auto"/>
        <w:bottom w:val="none" w:sz="0" w:space="0" w:color="auto"/>
        <w:right w:val="none" w:sz="0" w:space="0" w:color="auto"/>
      </w:divBdr>
    </w:div>
    <w:div w:id="1459103712">
      <w:bodyDiv w:val="1"/>
      <w:marLeft w:val="0"/>
      <w:marRight w:val="0"/>
      <w:marTop w:val="0"/>
      <w:marBottom w:val="0"/>
      <w:divBdr>
        <w:top w:val="none" w:sz="0" w:space="0" w:color="auto"/>
        <w:left w:val="none" w:sz="0" w:space="0" w:color="auto"/>
        <w:bottom w:val="none" w:sz="0" w:space="0" w:color="auto"/>
        <w:right w:val="none" w:sz="0" w:space="0" w:color="auto"/>
      </w:divBdr>
    </w:div>
    <w:div w:id="1473524150">
      <w:bodyDiv w:val="1"/>
      <w:marLeft w:val="0"/>
      <w:marRight w:val="0"/>
      <w:marTop w:val="0"/>
      <w:marBottom w:val="0"/>
      <w:divBdr>
        <w:top w:val="none" w:sz="0" w:space="0" w:color="auto"/>
        <w:left w:val="none" w:sz="0" w:space="0" w:color="auto"/>
        <w:bottom w:val="none" w:sz="0" w:space="0" w:color="auto"/>
        <w:right w:val="none" w:sz="0" w:space="0" w:color="auto"/>
      </w:divBdr>
    </w:div>
    <w:div w:id="1481655505">
      <w:bodyDiv w:val="1"/>
      <w:marLeft w:val="0"/>
      <w:marRight w:val="0"/>
      <w:marTop w:val="0"/>
      <w:marBottom w:val="0"/>
      <w:divBdr>
        <w:top w:val="none" w:sz="0" w:space="0" w:color="auto"/>
        <w:left w:val="none" w:sz="0" w:space="0" w:color="auto"/>
        <w:bottom w:val="none" w:sz="0" w:space="0" w:color="auto"/>
        <w:right w:val="none" w:sz="0" w:space="0" w:color="auto"/>
      </w:divBdr>
    </w:div>
    <w:div w:id="1516577371">
      <w:bodyDiv w:val="1"/>
      <w:marLeft w:val="0"/>
      <w:marRight w:val="0"/>
      <w:marTop w:val="0"/>
      <w:marBottom w:val="0"/>
      <w:divBdr>
        <w:top w:val="none" w:sz="0" w:space="0" w:color="auto"/>
        <w:left w:val="none" w:sz="0" w:space="0" w:color="auto"/>
        <w:bottom w:val="none" w:sz="0" w:space="0" w:color="auto"/>
        <w:right w:val="none" w:sz="0" w:space="0" w:color="auto"/>
      </w:divBdr>
    </w:div>
    <w:div w:id="1523393331">
      <w:bodyDiv w:val="1"/>
      <w:marLeft w:val="0"/>
      <w:marRight w:val="0"/>
      <w:marTop w:val="0"/>
      <w:marBottom w:val="0"/>
      <w:divBdr>
        <w:top w:val="none" w:sz="0" w:space="0" w:color="auto"/>
        <w:left w:val="none" w:sz="0" w:space="0" w:color="auto"/>
        <w:bottom w:val="none" w:sz="0" w:space="0" w:color="auto"/>
        <w:right w:val="none" w:sz="0" w:space="0" w:color="auto"/>
      </w:divBdr>
    </w:div>
    <w:div w:id="1524516001">
      <w:bodyDiv w:val="1"/>
      <w:marLeft w:val="0"/>
      <w:marRight w:val="0"/>
      <w:marTop w:val="0"/>
      <w:marBottom w:val="0"/>
      <w:divBdr>
        <w:top w:val="none" w:sz="0" w:space="0" w:color="auto"/>
        <w:left w:val="none" w:sz="0" w:space="0" w:color="auto"/>
        <w:bottom w:val="none" w:sz="0" w:space="0" w:color="auto"/>
        <w:right w:val="none" w:sz="0" w:space="0" w:color="auto"/>
      </w:divBdr>
    </w:div>
    <w:div w:id="1525363757">
      <w:bodyDiv w:val="1"/>
      <w:marLeft w:val="0"/>
      <w:marRight w:val="0"/>
      <w:marTop w:val="0"/>
      <w:marBottom w:val="0"/>
      <w:divBdr>
        <w:top w:val="none" w:sz="0" w:space="0" w:color="auto"/>
        <w:left w:val="none" w:sz="0" w:space="0" w:color="auto"/>
        <w:bottom w:val="none" w:sz="0" w:space="0" w:color="auto"/>
        <w:right w:val="none" w:sz="0" w:space="0" w:color="auto"/>
      </w:divBdr>
    </w:div>
    <w:div w:id="1531214162">
      <w:bodyDiv w:val="1"/>
      <w:marLeft w:val="0"/>
      <w:marRight w:val="0"/>
      <w:marTop w:val="0"/>
      <w:marBottom w:val="0"/>
      <w:divBdr>
        <w:top w:val="none" w:sz="0" w:space="0" w:color="auto"/>
        <w:left w:val="none" w:sz="0" w:space="0" w:color="auto"/>
        <w:bottom w:val="none" w:sz="0" w:space="0" w:color="auto"/>
        <w:right w:val="none" w:sz="0" w:space="0" w:color="auto"/>
      </w:divBdr>
    </w:div>
    <w:div w:id="1650789821">
      <w:bodyDiv w:val="1"/>
      <w:marLeft w:val="0"/>
      <w:marRight w:val="0"/>
      <w:marTop w:val="0"/>
      <w:marBottom w:val="0"/>
      <w:divBdr>
        <w:top w:val="none" w:sz="0" w:space="0" w:color="auto"/>
        <w:left w:val="none" w:sz="0" w:space="0" w:color="auto"/>
        <w:bottom w:val="none" w:sz="0" w:space="0" w:color="auto"/>
        <w:right w:val="none" w:sz="0" w:space="0" w:color="auto"/>
      </w:divBdr>
    </w:div>
    <w:div w:id="1654869323">
      <w:bodyDiv w:val="1"/>
      <w:marLeft w:val="0"/>
      <w:marRight w:val="0"/>
      <w:marTop w:val="0"/>
      <w:marBottom w:val="0"/>
      <w:divBdr>
        <w:top w:val="none" w:sz="0" w:space="0" w:color="auto"/>
        <w:left w:val="none" w:sz="0" w:space="0" w:color="auto"/>
        <w:bottom w:val="none" w:sz="0" w:space="0" w:color="auto"/>
        <w:right w:val="none" w:sz="0" w:space="0" w:color="auto"/>
      </w:divBdr>
    </w:div>
    <w:div w:id="1663970972">
      <w:bodyDiv w:val="1"/>
      <w:marLeft w:val="0"/>
      <w:marRight w:val="0"/>
      <w:marTop w:val="0"/>
      <w:marBottom w:val="0"/>
      <w:divBdr>
        <w:top w:val="none" w:sz="0" w:space="0" w:color="auto"/>
        <w:left w:val="none" w:sz="0" w:space="0" w:color="auto"/>
        <w:bottom w:val="none" w:sz="0" w:space="0" w:color="auto"/>
        <w:right w:val="none" w:sz="0" w:space="0" w:color="auto"/>
      </w:divBdr>
    </w:div>
    <w:div w:id="1713310708">
      <w:bodyDiv w:val="1"/>
      <w:marLeft w:val="0"/>
      <w:marRight w:val="0"/>
      <w:marTop w:val="0"/>
      <w:marBottom w:val="0"/>
      <w:divBdr>
        <w:top w:val="none" w:sz="0" w:space="0" w:color="auto"/>
        <w:left w:val="none" w:sz="0" w:space="0" w:color="auto"/>
        <w:bottom w:val="none" w:sz="0" w:space="0" w:color="auto"/>
        <w:right w:val="none" w:sz="0" w:space="0" w:color="auto"/>
      </w:divBdr>
    </w:div>
    <w:div w:id="1734042118">
      <w:bodyDiv w:val="1"/>
      <w:marLeft w:val="0"/>
      <w:marRight w:val="0"/>
      <w:marTop w:val="0"/>
      <w:marBottom w:val="0"/>
      <w:divBdr>
        <w:top w:val="none" w:sz="0" w:space="0" w:color="auto"/>
        <w:left w:val="none" w:sz="0" w:space="0" w:color="auto"/>
        <w:bottom w:val="none" w:sz="0" w:space="0" w:color="auto"/>
        <w:right w:val="none" w:sz="0" w:space="0" w:color="auto"/>
      </w:divBdr>
    </w:div>
    <w:div w:id="1737509871">
      <w:bodyDiv w:val="1"/>
      <w:marLeft w:val="0"/>
      <w:marRight w:val="0"/>
      <w:marTop w:val="0"/>
      <w:marBottom w:val="0"/>
      <w:divBdr>
        <w:top w:val="none" w:sz="0" w:space="0" w:color="auto"/>
        <w:left w:val="none" w:sz="0" w:space="0" w:color="auto"/>
        <w:bottom w:val="none" w:sz="0" w:space="0" w:color="auto"/>
        <w:right w:val="none" w:sz="0" w:space="0" w:color="auto"/>
      </w:divBdr>
    </w:div>
    <w:div w:id="1755858857">
      <w:bodyDiv w:val="1"/>
      <w:marLeft w:val="0"/>
      <w:marRight w:val="0"/>
      <w:marTop w:val="0"/>
      <w:marBottom w:val="0"/>
      <w:divBdr>
        <w:top w:val="none" w:sz="0" w:space="0" w:color="auto"/>
        <w:left w:val="none" w:sz="0" w:space="0" w:color="auto"/>
        <w:bottom w:val="none" w:sz="0" w:space="0" w:color="auto"/>
        <w:right w:val="none" w:sz="0" w:space="0" w:color="auto"/>
      </w:divBdr>
    </w:div>
    <w:div w:id="1759869017">
      <w:bodyDiv w:val="1"/>
      <w:marLeft w:val="0"/>
      <w:marRight w:val="0"/>
      <w:marTop w:val="0"/>
      <w:marBottom w:val="0"/>
      <w:divBdr>
        <w:top w:val="none" w:sz="0" w:space="0" w:color="auto"/>
        <w:left w:val="none" w:sz="0" w:space="0" w:color="auto"/>
        <w:bottom w:val="none" w:sz="0" w:space="0" w:color="auto"/>
        <w:right w:val="none" w:sz="0" w:space="0" w:color="auto"/>
      </w:divBdr>
    </w:div>
    <w:div w:id="1776556955">
      <w:bodyDiv w:val="1"/>
      <w:marLeft w:val="0"/>
      <w:marRight w:val="0"/>
      <w:marTop w:val="0"/>
      <w:marBottom w:val="0"/>
      <w:divBdr>
        <w:top w:val="none" w:sz="0" w:space="0" w:color="auto"/>
        <w:left w:val="none" w:sz="0" w:space="0" w:color="auto"/>
        <w:bottom w:val="none" w:sz="0" w:space="0" w:color="auto"/>
        <w:right w:val="none" w:sz="0" w:space="0" w:color="auto"/>
      </w:divBdr>
    </w:div>
    <w:div w:id="1799950416">
      <w:bodyDiv w:val="1"/>
      <w:marLeft w:val="0"/>
      <w:marRight w:val="0"/>
      <w:marTop w:val="0"/>
      <w:marBottom w:val="0"/>
      <w:divBdr>
        <w:top w:val="none" w:sz="0" w:space="0" w:color="auto"/>
        <w:left w:val="none" w:sz="0" w:space="0" w:color="auto"/>
        <w:bottom w:val="none" w:sz="0" w:space="0" w:color="auto"/>
        <w:right w:val="none" w:sz="0" w:space="0" w:color="auto"/>
      </w:divBdr>
    </w:div>
    <w:div w:id="1818691275">
      <w:bodyDiv w:val="1"/>
      <w:marLeft w:val="0"/>
      <w:marRight w:val="0"/>
      <w:marTop w:val="0"/>
      <w:marBottom w:val="0"/>
      <w:divBdr>
        <w:top w:val="none" w:sz="0" w:space="0" w:color="auto"/>
        <w:left w:val="none" w:sz="0" w:space="0" w:color="auto"/>
        <w:bottom w:val="none" w:sz="0" w:space="0" w:color="auto"/>
        <w:right w:val="none" w:sz="0" w:space="0" w:color="auto"/>
      </w:divBdr>
    </w:div>
    <w:div w:id="1826971618">
      <w:bodyDiv w:val="1"/>
      <w:marLeft w:val="0"/>
      <w:marRight w:val="0"/>
      <w:marTop w:val="0"/>
      <w:marBottom w:val="0"/>
      <w:divBdr>
        <w:top w:val="none" w:sz="0" w:space="0" w:color="auto"/>
        <w:left w:val="none" w:sz="0" w:space="0" w:color="auto"/>
        <w:bottom w:val="none" w:sz="0" w:space="0" w:color="auto"/>
        <w:right w:val="none" w:sz="0" w:space="0" w:color="auto"/>
      </w:divBdr>
    </w:div>
    <w:div w:id="1827623060">
      <w:bodyDiv w:val="1"/>
      <w:marLeft w:val="0"/>
      <w:marRight w:val="0"/>
      <w:marTop w:val="0"/>
      <w:marBottom w:val="0"/>
      <w:divBdr>
        <w:top w:val="none" w:sz="0" w:space="0" w:color="auto"/>
        <w:left w:val="none" w:sz="0" w:space="0" w:color="auto"/>
        <w:bottom w:val="none" w:sz="0" w:space="0" w:color="auto"/>
        <w:right w:val="none" w:sz="0" w:space="0" w:color="auto"/>
      </w:divBdr>
    </w:div>
    <w:div w:id="1828209541">
      <w:bodyDiv w:val="1"/>
      <w:marLeft w:val="0"/>
      <w:marRight w:val="0"/>
      <w:marTop w:val="0"/>
      <w:marBottom w:val="0"/>
      <w:divBdr>
        <w:top w:val="none" w:sz="0" w:space="0" w:color="auto"/>
        <w:left w:val="none" w:sz="0" w:space="0" w:color="auto"/>
        <w:bottom w:val="none" w:sz="0" w:space="0" w:color="auto"/>
        <w:right w:val="none" w:sz="0" w:space="0" w:color="auto"/>
      </w:divBdr>
    </w:div>
    <w:div w:id="1831554530">
      <w:bodyDiv w:val="1"/>
      <w:marLeft w:val="0"/>
      <w:marRight w:val="0"/>
      <w:marTop w:val="0"/>
      <w:marBottom w:val="0"/>
      <w:divBdr>
        <w:top w:val="none" w:sz="0" w:space="0" w:color="auto"/>
        <w:left w:val="none" w:sz="0" w:space="0" w:color="auto"/>
        <w:bottom w:val="none" w:sz="0" w:space="0" w:color="auto"/>
        <w:right w:val="none" w:sz="0" w:space="0" w:color="auto"/>
      </w:divBdr>
    </w:div>
    <w:div w:id="1839926055">
      <w:bodyDiv w:val="1"/>
      <w:marLeft w:val="0"/>
      <w:marRight w:val="0"/>
      <w:marTop w:val="0"/>
      <w:marBottom w:val="0"/>
      <w:divBdr>
        <w:top w:val="none" w:sz="0" w:space="0" w:color="auto"/>
        <w:left w:val="none" w:sz="0" w:space="0" w:color="auto"/>
        <w:bottom w:val="none" w:sz="0" w:space="0" w:color="auto"/>
        <w:right w:val="none" w:sz="0" w:space="0" w:color="auto"/>
      </w:divBdr>
    </w:div>
    <w:div w:id="1863083122">
      <w:bodyDiv w:val="1"/>
      <w:marLeft w:val="0"/>
      <w:marRight w:val="0"/>
      <w:marTop w:val="0"/>
      <w:marBottom w:val="0"/>
      <w:divBdr>
        <w:top w:val="none" w:sz="0" w:space="0" w:color="auto"/>
        <w:left w:val="none" w:sz="0" w:space="0" w:color="auto"/>
        <w:bottom w:val="none" w:sz="0" w:space="0" w:color="auto"/>
        <w:right w:val="none" w:sz="0" w:space="0" w:color="auto"/>
      </w:divBdr>
    </w:div>
    <w:div w:id="1870102518">
      <w:bodyDiv w:val="1"/>
      <w:marLeft w:val="0"/>
      <w:marRight w:val="0"/>
      <w:marTop w:val="0"/>
      <w:marBottom w:val="0"/>
      <w:divBdr>
        <w:top w:val="none" w:sz="0" w:space="0" w:color="auto"/>
        <w:left w:val="none" w:sz="0" w:space="0" w:color="auto"/>
        <w:bottom w:val="none" w:sz="0" w:space="0" w:color="auto"/>
        <w:right w:val="none" w:sz="0" w:space="0" w:color="auto"/>
      </w:divBdr>
    </w:div>
    <w:div w:id="1877082317">
      <w:bodyDiv w:val="1"/>
      <w:marLeft w:val="0"/>
      <w:marRight w:val="0"/>
      <w:marTop w:val="0"/>
      <w:marBottom w:val="0"/>
      <w:divBdr>
        <w:top w:val="none" w:sz="0" w:space="0" w:color="auto"/>
        <w:left w:val="none" w:sz="0" w:space="0" w:color="auto"/>
        <w:bottom w:val="none" w:sz="0" w:space="0" w:color="auto"/>
        <w:right w:val="none" w:sz="0" w:space="0" w:color="auto"/>
      </w:divBdr>
    </w:div>
    <w:div w:id="2021424063">
      <w:bodyDiv w:val="1"/>
      <w:marLeft w:val="0"/>
      <w:marRight w:val="0"/>
      <w:marTop w:val="0"/>
      <w:marBottom w:val="0"/>
      <w:divBdr>
        <w:top w:val="none" w:sz="0" w:space="0" w:color="auto"/>
        <w:left w:val="none" w:sz="0" w:space="0" w:color="auto"/>
        <w:bottom w:val="none" w:sz="0" w:space="0" w:color="auto"/>
        <w:right w:val="none" w:sz="0" w:space="0" w:color="auto"/>
      </w:divBdr>
    </w:div>
    <w:div w:id="2057269456">
      <w:bodyDiv w:val="1"/>
      <w:marLeft w:val="0"/>
      <w:marRight w:val="0"/>
      <w:marTop w:val="0"/>
      <w:marBottom w:val="0"/>
      <w:divBdr>
        <w:top w:val="none" w:sz="0" w:space="0" w:color="auto"/>
        <w:left w:val="none" w:sz="0" w:space="0" w:color="auto"/>
        <w:bottom w:val="none" w:sz="0" w:space="0" w:color="auto"/>
        <w:right w:val="none" w:sz="0" w:space="0" w:color="auto"/>
      </w:divBdr>
    </w:div>
    <w:div w:id="2072119178">
      <w:bodyDiv w:val="1"/>
      <w:marLeft w:val="0"/>
      <w:marRight w:val="0"/>
      <w:marTop w:val="0"/>
      <w:marBottom w:val="0"/>
      <w:divBdr>
        <w:top w:val="none" w:sz="0" w:space="0" w:color="auto"/>
        <w:left w:val="none" w:sz="0" w:space="0" w:color="auto"/>
        <w:bottom w:val="none" w:sz="0" w:space="0" w:color="auto"/>
        <w:right w:val="none" w:sz="0" w:space="0" w:color="auto"/>
      </w:divBdr>
    </w:div>
    <w:div w:id="2074087161">
      <w:bodyDiv w:val="1"/>
      <w:marLeft w:val="0"/>
      <w:marRight w:val="0"/>
      <w:marTop w:val="0"/>
      <w:marBottom w:val="0"/>
      <w:divBdr>
        <w:top w:val="none" w:sz="0" w:space="0" w:color="auto"/>
        <w:left w:val="none" w:sz="0" w:space="0" w:color="auto"/>
        <w:bottom w:val="none" w:sz="0" w:space="0" w:color="auto"/>
        <w:right w:val="none" w:sz="0" w:space="0" w:color="auto"/>
      </w:divBdr>
    </w:div>
    <w:div w:id="2079357677">
      <w:bodyDiv w:val="1"/>
      <w:marLeft w:val="0"/>
      <w:marRight w:val="0"/>
      <w:marTop w:val="0"/>
      <w:marBottom w:val="0"/>
      <w:divBdr>
        <w:top w:val="none" w:sz="0" w:space="0" w:color="auto"/>
        <w:left w:val="none" w:sz="0" w:space="0" w:color="auto"/>
        <w:bottom w:val="none" w:sz="0" w:space="0" w:color="auto"/>
        <w:right w:val="none" w:sz="0" w:space="0" w:color="auto"/>
      </w:divBdr>
    </w:div>
    <w:div w:id="2079859066">
      <w:bodyDiv w:val="1"/>
      <w:marLeft w:val="0"/>
      <w:marRight w:val="0"/>
      <w:marTop w:val="0"/>
      <w:marBottom w:val="0"/>
      <w:divBdr>
        <w:top w:val="none" w:sz="0" w:space="0" w:color="auto"/>
        <w:left w:val="none" w:sz="0" w:space="0" w:color="auto"/>
        <w:bottom w:val="none" w:sz="0" w:space="0" w:color="auto"/>
        <w:right w:val="none" w:sz="0" w:space="0" w:color="auto"/>
      </w:divBdr>
    </w:div>
    <w:div w:id="2088383629">
      <w:bodyDiv w:val="1"/>
      <w:marLeft w:val="0"/>
      <w:marRight w:val="0"/>
      <w:marTop w:val="0"/>
      <w:marBottom w:val="0"/>
      <w:divBdr>
        <w:top w:val="none" w:sz="0" w:space="0" w:color="auto"/>
        <w:left w:val="none" w:sz="0" w:space="0" w:color="auto"/>
        <w:bottom w:val="none" w:sz="0" w:space="0" w:color="auto"/>
        <w:right w:val="none" w:sz="0" w:space="0" w:color="auto"/>
      </w:divBdr>
    </w:div>
    <w:div w:id="2088527511">
      <w:bodyDiv w:val="1"/>
      <w:marLeft w:val="0"/>
      <w:marRight w:val="0"/>
      <w:marTop w:val="0"/>
      <w:marBottom w:val="0"/>
      <w:divBdr>
        <w:top w:val="none" w:sz="0" w:space="0" w:color="auto"/>
        <w:left w:val="none" w:sz="0" w:space="0" w:color="auto"/>
        <w:bottom w:val="none" w:sz="0" w:space="0" w:color="auto"/>
        <w:right w:val="none" w:sz="0" w:space="0" w:color="auto"/>
      </w:divBdr>
    </w:div>
    <w:div w:id="2096903509">
      <w:bodyDiv w:val="1"/>
      <w:marLeft w:val="0"/>
      <w:marRight w:val="0"/>
      <w:marTop w:val="0"/>
      <w:marBottom w:val="0"/>
      <w:divBdr>
        <w:top w:val="none" w:sz="0" w:space="0" w:color="auto"/>
        <w:left w:val="none" w:sz="0" w:space="0" w:color="auto"/>
        <w:bottom w:val="none" w:sz="0" w:space="0" w:color="auto"/>
        <w:right w:val="none" w:sz="0" w:space="0" w:color="auto"/>
      </w:divBdr>
    </w:div>
    <w:div w:id="2109614990">
      <w:bodyDiv w:val="1"/>
      <w:marLeft w:val="0"/>
      <w:marRight w:val="0"/>
      <w:marTop w:val="0"/>
      <w:marBottom w:val="0"/>
      <w:divBdr>
        <w:top w:val="none" w:sz="0" w:space="0" w:color="auto"/>
        <w:left w:val="none" w:sz="0" w:space="0" w:color="auto"/>
        <w:bottom w:val="none" w:sz="0" w:space="0" w:color="auto"/>
        <w:right w:val="none" w:sz="0" w:space="0" w:color="auto"/>
      </w:divBdr>
    </w:div>
    <w:div w:id="2113668899">
      <w:bodyDiv w:val="1"/>
      <w:marLeft w:val="0"/>
      <w:marRight w:val="0"/>
      <w:marTop w:val="0"/>
      <w:marBottom w:val="0"/>
      <w:divBdr>
        <w:top w:val="none" w:sz="0" w:space="0" w:color="auto"/>
        <w:left w:val="none" w:sz="0" w:space="0" w:color="auto"/>
        <w:bottom w:val="none" w:sz="0" w:space="0" w:color="auto"/>
        <w:right w:val="none" w:sz="0" w:space="0" w:color="auto"/>
      </w:divBdr>
    </w:div>
    <w:div w:id="2125999507">
      <w:bodyDiv w:val="1"/>
      <w:marLeft w:val="0"/>
      <w:marRight w:val="0"/>
      <w:marTop w:val="0"/>
      <w:marBottom w:val="0"/>
      <w:divBdr>
        <w:top w:val="none" w:sz="0" w:space="0" w:color="auto"/>
        <w:left w:val="none" w:sz="0" w:space="0" w:color="auto"/>
        <w:bottom w:val="none" w:sz="0" w:space="0" w:color="auto"/>
        <w:right w:val="none" w:sz="0" w:space="0" w:color="auto"/>
      </w:divBdr>
    </w:div>
    <w:div w:id="2141991033">
      <w:bodyDiv w:val="1"/>
      <w:marLeft w:val="0"/>
      <w:marRight w:val="0"/>
      <w:marTop w:val="0"/>
      <w:marBottom w:val="0"/>
      <w:divBdr>
        <w:top w:val="none" w:sz="0" w:space="0" w:color="auto"/>
        <w:left w:val="none" w:sz="0" w:space="0" w:color="auto"/>
        <w:bottom w:val="none" w:sz="0" w:space="0" w:color="auto"/>
        <w:right w:val="none" w:sz="0" w:space="0" w:color="auto"/>
      </w:divBdr>
    </w:div>
    <w:div w:id="2142259465">
      <w:bodyDiv w:val="1"/>
      <w:marLeft w:val="0"/>
      <w:marRight w:val="0"/>
      <w:marTop w:val="0"/>
      <w:marBottom w:val="0"/>
      <w:divBdr>
        <w:top w:val="none" w:sz="0" w:space="0" w:color="auto"/>
        <w:left w:val="none" w:sz="0" w:space="0" w:color="auto"/>
        <w:bottom w:val="none" w:sz="0" w:space="0" w:color="auto"/>
        <w:right w:val="none" w:sz="0" w:space="0" w:color="auto"/>
      </w:divBdr>
    </w:div>
    <w:div w:id="21472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pha@szdc.cz"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4A546-64B4-417C-A3A4-04A97801A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30</Pages>
  <Words>9137</Words>
  <Characters>53915</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DTF SOLUTIONS</dc:creator>
  <cp:keywords/>
  <dc:description/>
  <cp:lastModifiedBy>Kitti Orszaghova</cp:lastModifiedBy>
  <cp:revision>9</cp:revision>
  <cp:lastPrinted>2019-11-14T15:24:00Z</cp:lastPrinted>
  <dcterms:created xsi:type="dcterms:W3CDTF">2019-11-13T08:53:00Z</dcterms:created>
  <dcterms:modified xsi:type="dcterms:W3CDTF">2019-11-14T15:26:00Z</dcterms:modified>
</cp:coreProperties>
</file>